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9636" w14:textId="581FAD7A" w:rsidR="00EB4FD3" w:rsidRDefault="00793339" w:rsidP="00EB4FD3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="Cambria" w:eastAsia="Times New Roman" w:hAnsi="Cambria" w:cs="Times New Roman"/>
          <w:b/>
          <w:sz w:val="20"/>
        </w:rPr>
        <w:br/>
      </w:r>
      <w:r w:rsidR="00EB4FD3" w:rsidRPr="009D5954">
        <w:rPr>
          <w:rFonts w:ascii="Cambria" w:eastAsia="Times New Roman" w:hAnsi="Cambria" w:cs="Times New Roman"/>
          <w:b/>
          <w:sz w:val="20"/>
        </w:rPr>
        <w:t>LETTER OF MEDICAL NECESSITY</w:t>
      </w:r>
      <w:r w:rsidR="00EB4FD3">
        <w:rPr>
          <w:rFonts w:ascii="Cambria" w:eastAsia="Times New Roman" w:hAnsi="Cambria" w:cs="Times New Roman"/>
          <w:b/>
          <w:sz w:val="20"/>
        </w:rPr>
        <w:t xml:space="preserve"> TEMPLATE</w:t>
      </w:r>
    </w:p>
    <w:p w14:paraId="3ADC6D95" w14:textId="77777777" w:rsidR="00EB4FD3" w:rsidRPr="009D5954" w:rsidRDefault="00EB4FD3" w:rsidP="00EB4FD3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BREAST/GYNECOLOGIC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(</w:t>
      </w:r>
      <w:proofErr w:type="spellStart"/>
      <w:r>
        <w:rPr>
          <w:rFonts w:ascii="Cambria" w:eastAsia="Times New Roman" w:hAnsi="Cambria" w:cs="Times New Roman"/>
          <w:b/>
          <w:sz w:val="20"/>
        </w:rPr>
        <w:t>BRCANext</w:t>
      </w:r>
      <w:proofErr w:type="spellEnd"/>
      <w:r w:rsidRPr="005E6DF7">
        <w:rPr>
          <w:rFonts w:ascii="Cambria" w:eastAsia="Times New Roman" w:hAnsi="Cambria" w:cs="Times New Roman"/>
          <w:b/>
          <w:sz w:val="20"/>
          <w:vertAlign w:val="superscript"/>
        </w:rPr>
        <w:t>®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3564D069" w14:textId="77777777" w:rsidR="00EB4FD3" w:rsidRPr="00FD1099" w:rsidRDefault="00EB4FD3" w:rsidP="00EB4F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779C1978" w14:textId="77777777" w:rsidR="00EB4FD3" w:rsidRPr="00FD1099" w:rsidRDefault="00EB4FD3" w:rsidP="00EB4FD3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3A89FBD1" w14:textId="77777777" w:rsidR="00EB4FD3" w:rsidRPr="00FD1099" w:rsidRDefault="00EB4FD3" w:rsidP="00EB4F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5A8E5811" w14:textId="77777777" w:rsidR="00EB4FD3" w:rsidRPr="00FD1099" w:rsidRDefault="00EB4FD3" w:rsidP="00EB4F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21D56788" w14:textId="77777777" w:rsidR="00EB4FD3" w:rsidRPr="00FD1099" w:rsidRDefault="00EB4FD3" w:rsidP="00EB4FD3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12F1A0B4" w14:textId="77777777" w:rsidR="00EB4FD3" w:rsidRDefault="00EB4FD3" w:rsidP="00EB4F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5AAEDA21" w14:textId="77777777" w:rsidR="00EB4FD3" w:rsidRPr="00FD1099" w:rsidRDefault="00EB4FD3" w:rsidP="00EB4FD3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00F2FB6F" w14:textId="57E0B35B" w:rsidR="00EB4FD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  <w:r w:rsidR="00EB4FD3"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04A483D4" w14:textId="77777777" w:rsidR="00EB4FD3" w:rsidRPr="001362EC" w:rsidRDefault="00EB4FD3" w:rsidP="00EB4FD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36621FD4" w14:textId="77777777" w:rsidR="00EB4FD3" w:rsidRPr="001362EC" w:rsidRDefault="00EB4FD3" w:rsidP="00EB4FD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6D6BD5BF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5CF3F726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165D42E6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1362EC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12DC4015" w14:textId="77777777" w:rsidR="00EB4FD3" w:rsidRPr="001362EC" w:rsidRDefault="00EB4FD3" w:rsidP="00EB4FD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269326E5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7647DAAE" w14:textId="77777777" w:rsidR="00EB4FD3" w:rsidRPr="001362EC" w:rsidRDefault="00EB4FD3" w:rsidP="00EB4FD3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3D9D4DF5" w14:textId="77777777" w:rsidR="00EB4FD3" w:rsidRPr="001362EC" w:rsidRDefault="00EB4FD3" w:rsidP="00EB4FD3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56C47683" w14:textId="77777777" w:rsidR="00EB4FD3" w:rsidRPr="001362EC" w:rsidRDefault="00EB4FD3" w:rsidP="00EB4FD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4A035682" w14:textId="6F2F0D9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7D1A87AC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7DD3D880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4325B2FE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185083EE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63E20A24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71ABE842" w14:textId="77777777" w:rsidR="00EB4FD3" w:rsidRPr="001362EC" w:rsidRDefault="00EB4FD3" w:rsidP="00EB4FD3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6AFA1C5E" w14:textId="7B293AF6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181F2DAC" w14:textId="77777777" w:rsidR="00EB4FD3" w:rsidRPr="001362EC" w:rsidRDefault="00EB4FD3" w:rsidP="00EB4F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Z80.0 COLON (digestive organ) cancer, Family histor</w:t>
      </w:r>
      <w:r>
        <w:rPr>
          <w:rFonts w:asciiTheme="majorHAnsi" w:hAnsiTheme="majorHAnsi"/>
          <w:color w:val="00B0F0"/>
          <w:sz w:val="18"/>
          <w:szCs w:val="18"/>
        </w:rPr>
        <w:t>y</w:t>
      </w:r>
    </w:p>
    <w:p w14:paraId="7F27EC22" w14:textId="77777777" w:rsidR="00EB4FD3" w:rsidRPr="001362EC" w:rsidRDefault="00EB4FD3" w:rsidP="00EB4F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399ACD96" w14:textId="77777777" w:rsidR="00EB4FD3" w:rsidRPr="001362EC" w:rsidRDefault="00EB4FD3" w:rsidP="00EB4FD3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02CDC970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Z85.46 PROSTATE cancer; Family history</w:t>
      </w:r>
    </w:p>
    <w:p w14:paraId="2BB58E47" w14:textId="77777777" w:rsidR="00EB4FD3" w:rsidRPr="001362EC" w:rsidRDefault="00EB4FD3" w:rsidP="00EB4FD3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6F20034C" w14:textId="77777777" w:rsidR="00EB4FD3" w:rsidRPr="00FD1099" w:rsidRDefault="00EB4FD3" w:rsidP="00EB4FD3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3A2B72B8" w14:textId="77777777" w:rsidR="00EB4FD3" w:rsidRDefault="00EB4FD3" w:rsidP="00EB4FD3">
      <w:pPr>
        <w:pStyle w:val="NoSpacing"/>
        <w:rPr>
          <w:rFonts w:asciiTheme="majorHAnsi" w:hAnsiTheme="majorHAnsi"/>
        </w:rPr>
      </w:pPr>
    </w:p>
    <w:p w14:paraId="2FDCDD47" w14:textId="77777777" w:rsidR="00EB4FD3" w:rsidRPr="00CD4CE6" w:rsidRDefault="00EB4FD3" w:rsidP="00EB4FD3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above</w:t>
      </w:r>
      <w:r w:rsidRPr="005E6DF7">
        <w:rPr>
          <w:rFonts w:asciiTheme="majorHAnsi" w:hAnsiTheme="majorHAnsi" w:cs="Arial"/>
        </w:rPr>
        <w:t>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>indicated genetic testing for hereditary breast/gynecologic cancer</w:t>
      </w:r>
      <w:r>
        <w:rPr>
          <w:rFonts w:asciiTheme="majorHAnsi" w:hAnsiTheme="majorHAnsi"/>
        </w:rPr>
        <w:t xml:space="preserve"> (</w:t>
      </w:r>
      <w:proofErr w:type="spellStart"/>
      <w:r>
        <w:rPr>
          <w:rFonts w:asciiTheme="majorHAnsi" w:hAnsiTheme="majorHAnsi"/>
        </w:rPr>
        <w:t>BRCANext</w:t>
      </w:r>
      <w:proofErr w:type="spellEnd"/>
      <w:r>
        <w:rPr>
          <w:rFonts w:asciiTheme="majorHAnsi" w:hAnsiTheme="majorHAnsi"/>
        </w:rPr>
        <w:t>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4721BDDE" w14:textId="77777777" w:rsidR="00EB4FD3" w:rsidRPr="00CD4CE6" w:rsidRDefault="00EB4FD3" w:rsidP="00EB4FD3">
      <w:pPr>
        <w:pStyle w:val="NoSpacing"/>
        <w:rPr>
          <w:rFonts w:asciiTheme="majorHAnsi" w:hAnsiTheme="majorHAnsi" w:cs="Arial"/>
        </w:rPr>
      </w:pPr>
    </w:p>
    <w:p w14:paraId="57A24876" w14:textId="50F92751" w:rsidR="000D3E66" w:rsidRPr="007879BE" w:rsidRDefault="00EB4FD3" w:rsidP="00EB4FD3">
      <w:pPr>
        <w:pStyle w:val="NoSpacing"/>
        <w:rPr>
          <w:rFonts w:asciiTheme="majorHAnsi" w:hAnsiTheme="majorHAnsi"/>
          <w:b/>
        </w:rPr>
      </w:pPr>
      <w:r w:rsidRPr="00CD4CE6">
        <w:rPr>
          <w:rFonts w:asciiTheme="majorHAnsi" w:hAnsiTheme="majorHAnsi"/>
        </w:rPr>
        <w:t>Breast and gynecologic cancers (</w:t>
      </w:r>
      <w:r w:rsidRPr="00CD4CE6">
        <w:rPr>
          <w:rFonts w:asciiTheme="majorHAnsi" w:hAnsiTheme="majorHAnsi"/>
          <w:i/>
        </w:rPr>
        <w:t xml:space="preserve">e.g. </w:t>
      </w:r>
      <w:r w:rsidRPr="00CD4CE6">
        <w:rPr>
          <w:rFonts w:asciiTheme="majorHAnsi" w:hAnsiTheme="majorHAnsi"/>
        </w:rPr>
        <w:t xml:space="preserve">ovarian and uterine) are thought to have a hereditary component in </w:t>
      </w:r>
      <w:r w:rsidRPr="00350F44">
        <w:rPr>
          <w:rFonts w:asciiTheme="majorHAnsi" w:hAnsiTheme="majorHAnsi"/>
        </w:rPr>
        <w:t>up to 10% and 25% of</w:t>
      </w:r>
      <w:r w:rsidRPr="00CD4CE6">
        <w:rPr>
          <w:rFonts w:asciiTheme="majorHAnsi" w:hAnsiTheme="majorHAnsi"/>
        </w:rPr>
        <w:t xml:space="preserve"> cases respectively</w:t>
      </w:r>
      <w:r w:rsidRPr="00835B4E">
        <w:rPr>
          <w:rFonts w:asciiTheme="majorHAnsi" w:hAnsiTheme="majorHAnsi"/>
          <w:vertAlign w:val="superscript"/>
        </w:rPr>
        <w:t>1</w:t>
      </w:r>
      <w:r w:rsidRPr="00CD4CE6">
        <w:rPr>
          <w:rFonts w:asciiTheme="majorHAnsi" w:hAnsiTheme="majorHAnsi"/>
        </w:rPr>
        <w:t xml:space="preserve">. </w:t>
      </w:r>
      <w:r w:rsidRPr="007879BE">
        <w:rPr>
          <w:rFonts w:asciiTheme="majorHAnsi" w:hAnsiTheme="majorHAnsi"/>
          <w:b/>
        </w:rPr>
        <w:t>Significant aspects of my patient’s personal and/or family medical history that suggest a reasonable probability of hereditary breast/gynecologic cancer are below:</w:t>
      </w:r>
    </w:p>
    <w:p w14:paraId="15AEB6DD" w14:textId="77777777" w:rsidR="00EB4FD3" w:rsidRDefault="00EB4FD3" w:rsidP="00EB4F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6AAA050A" w14:textId="77777777" w:rsidR="00EB4FD3" w:rsidRDefault="00EB4FD3" w:rsidP="00EB4F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Early-onset breast cancer (diagnosed by age 50) or uterine cancer (diagnosed before 50)</w:t>
      </w:r>
    </w:p>
    <w:p w14:paraId="179038C9" w14:textId="77777777" w:rsidR="00EB4FD3" w:rsidRDefault="00EB4FD3" w:rsidP="00EB4F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Multiple primary cancers in one person (</w:t>
      </w:r>
      <w:r>
        <w:rPr>
          <w:rFonts w:asciiTheme="majorHAnsi" w:eastAsia="Times New Roman" w:hAnsiTheme="majorHAnsi" w:cs="Times New Roman"/>
          <w:i/>
          <w:iCs/>
          <w:bdr w:val="none" w:sz="0" w:space="0" w:color="auto" w:frame="1"/>
        </w:rPr>
        <w:t>e.g</w:t>
      </w:r>
      <w:r>
        <w:rPr>
          <w:rFonts w:asciiTheme="majorHAnsi" w:eastAsia="Times New Roman" w:hAnsiTheme="majorHAnsi" w:cs="Times New Roman"/>
        </w:rPr>
        <w:t>., uterine and breast or thyroid cancer)</w:t>
      </w:r>
    </w:p>
    <w:p w14:paraId="12DF3CEE" w14:textId="77777777" w:rsidR="00EB4FD3" w:rsidRDefault="00EB4FD3" w:rsidP="00EB4F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ovarian or uterine and other cancers </w:t>
      </w:r>
    </w:p>
    <w:p w14:paraId="19313BFF" w14:textId="77777777" w:rsidR="00EB4FD3" w:rsidRDefault="00EB4FD3" w:rsidP="00EB4FD3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Cancer histories that are suspicious for both hereditary breast and ovarian cancer and Lynch syndrome</w:t>
      </w:r>
    </w:p>
    <w:p w14:paraId="10D76EB2" w14:textId="77777777" w:rsidR="00EB4FD3" w:rsidRDefault="00EB4FD3" w:rsidP="00EB4FD3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known mutation in a cancer susceptibility gene within the family</w:t>
      </w:r>
    </w:p>
    <w:p w14:paraId="288E0E28" w14:textId="6D905625" w:rsidR="00EB4FD3" w:rsidRPr="005E3207" w:rsidRDefault="00EB4FD3" w:rsidP="005E320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6CC1DB90" w14:textId="56F5374A" w:rsidR="00EB4FD3" w:rsidRPr="00782633" w:rsidRDefault="00EB4FD3" w:rsidP="00EB4FD3">
      <w:pPr>
        <w:pStyle w:val="NoSpacing"/>
        <w:rPr>
          <w:rFonts w:asciiTheme="majorHAnsi" w:hAnsiTheme="majorHAnsi"/>
        </w:rPr>
      </w:pPr>
      <w:r w:rsidRPr="00782633">
        <w:rPr>
          <w:rStyle w:val="Emphasis"/>
          <w:rFonts w:ascii="Cambria" w:hAnsi="Cambria" w:cs="Arial"/>
          <w:i w:val="0"/>
          <w:iCs w:val="0"/>
        </w:rPr>
        <w:lastRenderedPageBreak/>
        <w:t>Based on the personal and/or family history, my patient is suspicious for</w:t>
      </w:r>
      <w:r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 ______________________ syndrome(s). </w:t>
      </w:r>
      <w:r w:rsidRPr="00782633">
        <w:rPr>
          <w:rFonts w:asciiTheme="majorHAnsi" w:hAnsiTheme="majorHAnsi"/>
          <w:b/>
        </w:rPr>
        <w:t>According to published guidelines, germline genetic testing is warranted.</w:t>
      </w:r>
      <w:r w:rsidRPr="00782633">
        <w:rPr>
          <w:rFonts w:asciiTheme="majorHAnsi" w:hAnsiTheme="majorHAnsi"/>
          <w:vertAlign w:val="superscript"/>
        </w:rPr>
        <w:t>2</w:t>
      </w:r>
      <w:r>
        <w:rPr>
          <w:rFonts w:asciiTheme="majorHAnsi" w:hAnsiTheme="majorHAnsi"/>
          <w:vertAlign w:val="superscript"/>
        </w:rPr>
        <w:t>,3</w:t>
      </w:r>
      <w:r w:rsidRPr="00782633">
        <w:rPr>
          <w:rFonts w:asciiTheme="majorHAnsi" w:hAnsiTheme="majorHAnsi"/>
        </w:rPr>
        <w:t xml:space="preserve"> </w:t>
      </w:r>
    </w:p>
    <w:p w14:paraId="641104A4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</w:p>
    <w:p w14:paraId="7BEC05FB" w14:textId="77777777" w:rsidR="00EB4FD3" w:rsidRPr="009A5F43" w:rsidRDefault="00EB4FD3" w:rsidP="00EB4FD3">
      <w:pPr>
        <w:pStyle w:val="NoSpacing"/>
        <w:tabs>
          <w:tab w:val="left" w:pos="1306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>Therefore</w:t>
      </w:r>
      <w:r w:rsidRPr="007879BE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we are</w:t>
      </w:r>
      <w:r w:rsidRPr="007879BE">
        <w:rPr>
          <w:rFonts w:asciiTheme="majorHAnsi" w:hAnsiTheme="majorHAnsi"/>
        </w:rPr>
        <w:t xml:space="preserve"> requesting coverage for this test (</w:t>
      </w:r>
      <w:proofErr w:type="spellStart"/>
      <w:r>
        <w:rPr>
          <w:rFonts w:asciiTheme="majorHAnsi" w:hAnsiTheme="majorHAnsi"/>
        </w:rPr>
        <w:t>BRCANext</w:t>
      </w:r>
      <w:proofErr w:type="spellEnd"/>
      <w:r w:rsidRPr="007879BE">
        <w:rPr>
          <w:rFonts w:asciiTheme="majorHAnsi" w:hAnsiTheme="majorHAnsi"/>
        </w:rPr>
        <w:t xml:space="preserve">), which analyzes </w:t>
      </w:r>
      <w:r>
        <w:rPr>
          <w:rFonts w:asciiTheme="majorHAnsi" w:hAnsiTheme="majorHAnsi"/>
        </w:rPr>
        <w:t>19</w:t>
      </w:r>
      <w:r w:rsidRPr="007879BE">
        <w:rPr>
          <w:rFonts w:asciiTheme="majorHAnsi" w:hAnsiTheme="majorHAnsi"/>
        </w:rPr>
        <w:t xml:space="preserve"> genes associated with hereditary breast/gynecologic cancer:</w:t>
      </w:r>
      <w:r w:rsidRPr="007879BE">
        <w:rPr>
          <w:rFonts w:asciiTheme="majorHAnsi" w:hAnsiTheme="majorHAnsi"/>
          <w:i/>
        </w:rPr>
        <w:t xml:space="preserve"> ATM, </w:t>
      </w:r>
      <w:r>
        <w:rPr>
          <w:rFonts w:asciiTheme="majorHAnsi" w:hAnsiTheme="majorHAnsi"/>
          <w:i/>
        </w:rPr>
        <w:t xml:space="preserve">BARD1, </w:t>
      </w:r>
      <w:r w:rsidRPr="007879BE">
        <w:rPr>
          <w:rFonts w:asciiTheme="majorHAnsi" w:hAnsiTheme="majorHAnsi"/>
          <w:i/>
        </w:rPr>
        <w:t>BRCA1, BRCA2, BRIP1, CDH1, CHEK2,</w:t>
      </w:r>
      <w:r>
        <w:rPr>
          <w:rFonts w:asciiTheme="majorHAnsi" w:hAnsiTheme="majorHAnsi"/>
          <w:i/>
        </w:rPr>
        <w:t xml:space="preserve"> </w:t>
      </w:r>
      <w:r w:rsidRPr="007879BE">
        <w:rPr>
          <w:rFonts w:asciiTheme="majorHAnsi" w:hAnsiTheme="majorHAnsi"/>
          <w:i/>
        </w:rPr>
        <w:t>EPCAM, MLH1, MSH2, MSH6, NF1, PALB2, PMS2, PTEN, RAD51C, RAD51D,</w:t>
      </w:r>
      <w:r w:rsidRPr="007879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STK11, </w:t>
      </w:r>
      <w:r w:rsidRPr="007879BE">
        <w:rPr>
          <w:rFonts w:asciiTheme="majorHAnsi" w:hAnsiTheme="majorHAnsi"/>
          <w:i/>
        </w:rPr>
        <w:t>TP53</w:t>
      </w:r>
      <w:r>
        <w:rPr>
          <w:rFonts w:asciiTheme="majorHAnsi" w:hAnsiTheme="majorHAnsi"/>
          <w:i/>
        </w:rPr>
        <w:t xml:space="preserve"> </w:t>
      </w:r>
      <w:r w:rsidRPr="00F1426B">
        <w:rPr>
          <w:rFonts w:asciiTheme="majorHAnsi" w:hAnsiTheme="majorHAnsi"/>
          <w:iCs/>
        </w:rPr>
        <w:t>(with an option to add on 7 additional genes:</w:t>
      </w:r>
      <w:r>
        <w:rPr>
          <w:rFonts w:asciiTheme="majorHAnsi" w:hAnsiTheme="majorHAnsi"/>
          <w:i/>
        </w:rPr>
        <w:t xml:space="preserve"> </w:t>
      </w:r>
      <w:r w:rsidRPr="00F1426B">
        <w:rPr>
          <w:rFonts w:asciiTheme="majorHAnsi" w:hAnsiTheme="majorHAnsi"/>
          <w:i/>
          <w:iCs/>
        </w:rPr>
        <w:t>ATRIP, CDC73, FH, NTHL1, POLE, POLD1, RAD51B</w:t>
      </w:r>
      <w:r>
        <w:rPr>
          <w:rFonts w:asciiTheme="majorHAnsi" w:hAnsiTheme="majorHAnsi"/>
          <w:i/>
          <w:iCs/>
        </w:rPr>
        <w:t>)</w:t>
      </w:r>
      <w:r w:rsidRPr="00F1426B">
        <w:rPr>
          <w:rFonts w:asciiTheme="majorHAnsi" w:hAnsiTheme="majorHAnsi"/>
          <w:i/>
          <w:iCs/>
        </w:rPr>
        <w:t>.</w:t>
      </w:r>
      <w:r w:rsidRPr="007879BE">
        <w:rPr>
          <w:rFonts w:asciiTheme="majorHAnsi" w:hAnsiTheme="majorHAnsi" w:cs="Arial"/>
          <w:i/>
        </w:rPr>
        <w:t xml:space="preserve"> </w:t>
      </w:r>
      <w:r w:rsidRPr="007879BE">
        <w:rPr>
          <w:rFonts w:asciiTheme="majorHAnsi" w:hAnsiTheme="majorHAnsi"/>
        </w:rPr>
        <w:t>According to published guidelines, more than one gene may explain an inherited cancer syndrome</w:t>
      </w:r>
      <w:r>
        <w:rPr>
          <w:rFonts w:asciiTheme="majorHAnsi" w:hAnsiTheme="majorHAnsi"/>
        </w:rPr>
        <w:t>;</w:t>
      </w:r>
      <w:r w:rsidRPr="007879BE">
        <w:rPr>
          <w:rFonts w:asciiTheme="majorHAnsi" w:hAnsiTheme="majorHAnsi"/>
        </w:rPr>
        <w:t xml:space="preserve"> thus</w:t>
      </w:r>
      <w:r>
        <w:rPr>
          <w:rFonts w:asciiTheme="majorHAnsi" w:hAnsiTheme="majorHAnsi"/>
        </w:rPr>
        <w:t>,</w:t>
      </w:r>
      <w:r w:rsidRPr="007879BE">
        <w:rPr>
          <w:rFonts w:asciiTheme="majorHAnsi" w:hAnsiTheme="majorHAnsi"/>
        </w:rPr>
        <w:t xml:space="preserve"> multi-gene testing may be more efficient and/or cost-effective.</w:t>
      </w:r>
      <w:r>
        <w:rPr>
          <w:rFonts w:asciiTheme="majorHAnsi" w:hAnsiTheme="majorHAnsi"/>
          <w:vertAlign w:val="superscript"/>
        </w:rPr>
        <w:t>1</w:t>
      </w:r>
      <w:r w:rsidRPr="007879BE">
        <w:rPr>
          <w:rFonts w:asciiTheme="majorHAnsi" w:hAnsiTheme="majorHAnsi"/>
          <w:vertAlign w:val="superscript"/>
        </w:rPr>
        <w:t>-</w:t>
      </w:r>
      <w:r>
        <w:rPr>
          <w:rFonts w:asciiTheme="majorHAnsi" w:hAnsiTheme="majorHAnsi"/>
          <w:vertAlign w:val="superscript"/>
        </w:rPr>
        <w:t>3</w:t>
      </w:r>
    </w:p>
    <w:p w14:paraId="28AE586F" w14:textId="77777777" w:rsidR="00EB4FD3" w:rsidRDefault="00EB4FD3" w:rsidP="00EB4FD3">
      <w:pPr>
        <w:pStyle w:val="NoSpacing"/>
        <w:rPr>
          <w:rFonts w:asciiTheme="majorHAnsi" w:hAnsiTheme="majorHAnsi"/>
        </w:rPr>
      </w:pPr>
    </w:p>
    <w:p w14:paraId="438363AE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  <w:r w:rsidRPr="00431DC9">
        <w:rPr>
          <w:rFonts w:asciiTheme="majorHAnsi" w:hAnsiTheme="majorHAnsi"/>
          <w:bCs/>
        </w:rPr>
        <w:t xml:space="preserve">This genetic testing will help estimate my patient’s risk to develop </w:t>
      </w:r>
      <w:r w:rsidRPr="00431DC9">
        <w:rPr>
          <w:rFonts w:asciiTheme="majorHAnsi" w:hAnsiTheme="majorHAnsi"/>
          <w:bCs/>
          <w:color w:val="00B0F0"/>
        </w:rPr>
        <w:t xml:space="preserve">[choose one] cancer/another primary cancer </w:t>
      </w:r>
      <w:r w:rsidRPr="00431DC9">
        <w:rPr>
          <w:rFonts w:asciiTheme="majorHAnsi" w:hAnsiTheme="majorHAnsi"/>
          <w:bCs/>
        </w:rPr>
        <w:t>and</w:t>
      </w:r>
      <w:r w:rsidRPr="007879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All</w:t>
      </w:r>
      <w:r w:rsidRPr="003574D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of </w:t>
      </w:r>
      <w:r w:rsidRPr="003574DD">
        <w:rPr>
          <w:rFonts w:asciiTheme="majorHAnsi" w:hAnsiTheme="majorHAnsi"/>
          <w:b/>
        </w:rPr>
        <w:t>the genes in this test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 w:rsidRPr="007879BE">
        <w:rPr>
          <w:rFonts w:asciiTheme="majorHAnsi" w:hAnsiTheme="majorHAnsi"/>
          <w:vertAlign w:val="superscript"/>
        </w:rPr>
        <w:t>2,3</w:t>
      </w:r>
      <w:r>
        <w:rPr>
          <w:rFonts w:asciiTheme="majorHAnsi" w:hAnsiTheme="majorHAnsi"/>
          <w:vertAlign w:val="superscript"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2293DD62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</w:p>
    <w:p w14:paraId="1DA0C3E8" w14:textId="696FEEAD" w:rsidR="00EB4FD3" w:rsidRPr="007879BE" w:rsidRDefault="00EB4FD3" w:rsidP="00EB4F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Increased breast screening including clinical breast examinations, mammogram, ultrasound, MRI</w:t>
      </w:r>
    </w:p>
    <w:p w14:paraId="3B8863D0" w14:textId="77777777" w:rsidR="00EB4FD3" w:rsidRPr="007879BE" w:rsidRDefault="00EB4FD3" w:rsidP="00EB4F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Breast cancer risk reduction using </w:t>
      </w:r>
      <w:r>
        <w:rPr>
          <w:rFonts w:asciiTheme="majorHAnsi" w:hAnsiTheme="majorHAnsi"/>
        </w:rPr>
        <w:t xml:space="preserve">anti-estrogen therapy or </w:t>
      </w:r>
      <w:r w:rsidRPr="007879BE">
        <w:rPr>
          <w:rFonts w:asciiTheme="majorHAnsi" w:hAnsiTheme="majorHAnsi"/>
        </w:rPr>
        <w:t xml:space="preserve">prophylactic mastectomies </w:t>
      </w:r>
    </w:p>
    <w:p w14:paraId="7A69F5CE" w14:textId="77777777" w:rsidR="00EB4FD3" w:rsidRPr="007879BE" w:rsidRDefault="00EB4FD3" w:rsidP="00EB4F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Gynecologic cancer risk reduction using r</w:t>
      </w:r>
      <w:r w:rsidRPr="007879BE">
        <w:rPr>
          <w:rFonts w:asciiTheme="majorHAnsi" w:hAnsiTheme="majorHAnsi"/>
        </w:rPr>
        <w:t xml:space="preserve">isk-reducing </w:t>
      </w:r>
      <w:proofErr w:type="spellStart"/>
      <w:r w:rsidRPr="007879BE">
        <w:rPr>
          <w:rFonts w:asciiTheme="majorHAnsi" w:hAnsiTheme="majorHAnsi"/>
        </w:rPr>
        <w:t>salpingo</w:t>
      </w:r>
      <w:proofErr w:type="spellEnd"/>
      <w:r w:rsidRPr="007879BE">
        <w:rPr>
          <w:rFonts w:asciiTheme="majorHAnsi" w:hAnsiTheme="majorHAnsi"/>
        </w:rPr>
        <w:t>-oophorectomy and/or hysterectomy</w:t>
      </w:r>
    </w:p>
    <w:p w14:paraId="4E07D878" w14:textId="77777777" w:rsidR="00EB4FD3" w:rsidRDefault="00EB4FD3" w:rsidP="00EB4F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More frequent colonoscopy </w:t>
      </w:r>
    </w:p>
    <w:p w14:paraId="1E085E85" w14:textId="77777777" w:rsidR="00EB4FD3" w:rsidRPr="007879BE" w:rsidRDefault="00EB4FD3" w:rsidP="00EB4F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Prostate cancer screening (PSA and DRE)</w:t>
      </w:r>
    </w:p>
    <w:p w14:paraId="421ECF83" w14:textId="77777777" w:rsidR="00EB4FD3" w:rsidRDefault="00EB4FD3" w:rsidP="00EB4F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Avoidance of radiation treatment when possible </w:t>
      </w:r>
    </w:p>
    <w:p w14:paraId="330B9B19" w14:textId="77777777" w:rsidR="00EB4FD3" w:rsidRPr="007879BE" w:rsidRDefault="00EB4FD3" w:rsidP="00EB4F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Consideration of </w:t>
      </w:r>
      <w:r>
        <w:rPr>
          <w:rFonts w:asciiTheme="majorHAnsi" w:hAnsiTheme="majorHAnsi"/>
        </w:rPr>
        <w:t xml:space="preserve">other </w:t>
      </w:r>
      <w:r w:rsidRPr="007879BE">
        <w:rPr>
          <w:rFonts w:asciiTheme="majorHAnsi" w:hAnsiTheme="majorHAnsi"/>
        </w:rPr>
        <w:t>MRI-based screening/technologies</w:t>
      </w:r>
    </w:p>
    <w:p w14:paraId="5F49E4FF" w14:textId="77777777" w:rsidR="00EB4FD3" w:rsidRPr="007879BE" w:rsidRDefault="00EB4FD3" w:rsidP="00EB4FD3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Other: ____________________________________________________________</w:t>
      </w:r>
    </w:p>
    <w:p w14:paraId="30E2FF73" w14:textId="77777777" w:rsidR="00EB4FD3" w:rsidRDefault="00EB4FD3" w:rsidP="00EB4FD3">
      <w:pPr>
        <w:pStyle w:val="NoSpacing"/>
        <w:rPr>
          <w:rFonts w:asciiTheme="majorHAnsi" w:hAnsiTheme="majorHAnsi"/>
        </w:rPr>
      </w:pPr>
    </w:p>
    <w:p w14:paraId="0F6EBF70" w14:textId="77777777" w:rsidR="00EB4FD3" w:rsidRDefault="00EB4FD3" w:rsidP="00EB4FD3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26B2EB4E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</w:p>
    <w:p w14:paraId="38F9CAFB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diagnostic genetic testing for hereditary breast/gynecologic cancer in my patient. </w:t>
      </w:r>
    </w:p>
    <w:p w14:paraId="61ECC923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</w:p>
    <w:p w14:paraId="53ED2845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C2EAFC4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</w:p>
    <w:p w14:paraId="3619BDBB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14908C5F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</w:p>
    <w:p w14:paraId="0865DF66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</w:p>
    <w:p w14:paraId="4737F916" w14:textId="77777777" w:rsidR="00EB4FD3" w:rsidRDefault="00EB4FD3" w:rsidP="00EB4FD3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color w:val="00B0F0"/>
        </w:rPr>
        <w:t xml:space="preserve">Ordering Clinician </w:t>
      </w:r>
    </w:p>
    <w:p w14:paraId="495BA133" w14:textId="77777777" w:rsidR="00EB4FD3" w:rsidRPr="007879BE" w:rsidRDefault="00EB4FD3" w:rsidP="00EB4FD3">
      <w:pPr>
        <w:pStyle w:val="NoSpacing"/>
        <w:rPr>
          <w:rFonts w:asciiTheme="majorHAnsi" w:hAnsiTheme="majorHAnsi"/>
        </w:rPr>
      </w:pPr>
    </w:p>
    <w:p w14:paraId="691D76A3" w14:textId="77777777" w:rsidR="002A6EF3" w:rsidRDefault="002A6EF3" w:rsidP="00EB4FD3">
      <w:pPr>
        <w:pStyle w:val="NoSpacing"/>
        <w:rPr>
          <w:rFonts w:asciiTheme="majorHAnsi" w:hAnsiTheme="majorHAnsi"/>
          <w:b/>
        </w:rPr>
      </w:pPr>
    </w:p>
    <w:p w14:paraId="5B44040F" w14:textId="2047448C" w:rsidR="00EB4FD3" w:rsidRPr="007879BE" w:rsidRDefault="00EB4FD3" w:rsidP="00EB4FD3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5B5C87D1" w14:textId="77777777" w:rsidR="00EB4FD3" w:rsidRPr="007879BE" w:rsidRDefault="00EB4FD3" w:rsidP="00EB4FD3">
      <w:pPr>
        <w:pStyle w:val="NoSpacing"/>
        <w:rPr>
          <w:rFonts w:asciiTheme="majorHAnsi" w:hAnsiTheme="majorHAnsi"/>
          <w:b/>
        </w:rPr>
      </w:pPr>
    </w:p>
    <w:p w14:paraId="07D34B00" w14:textId="77777777" w:rsidR="00EB4FD3" w:rsidRPr="00C0241F" w:rsidRDefault="00EB4FD3" w:rsidP="00EB4FD3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2A4F5A">
        <w:t>81432</w:t>
      </w:r>
      <w:r>
        <w:t>,</w:t>
      </w:r>
      <w:r w:rsidRPr="002A4F5A">
        <w:t>81433</w:t>
      </w:r>
      <w:r>
        <w:t xml:space="preserve"> or</w:t>
      </w:r>
      <w:r w:rsidRPr="002A4F5A">
        <w:t xml:space="preserve"> 81479</w:t>
      </w:r>
    </w:p>
    <w:p w14:paraId="4FF0EBF5" w14:textId="77777777" w:rsidR="00EB4FD3" w:rsidRDefault="00EB4FD3" w:rsidP="00EB4FD3">
      <w:pPr>
        <w:pStyle w:val="NoSpacing"/>
        <w:rPr>
          <w:rFonts w:asciiTheme="majorHAnsi" w:hAnsiTheme="majorHAnsi"/>
        </w:rPr>
      </w:pPr>
    </w:p>
    <w:p w14:paraId="5D1ED732" w14:textId="5DCB39C5" w:rsidR="00793339" w:rsidRDefault="00EB4FD3" w:rsidP="002A6EF3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46131538" w14:textId="77777777" w:rsidR="00793339" w:rsidRDefault="00793339" w:rsidP="00EB4FD3">
      <w:pPr>
        <w:pStyle w:val="NoSpacing"/>
        <w:rPr>
          <w:rFonts w:asciiTheme="majorHAnsi" w:hAnsiTheme="majorHAnsi" w:cs="Arial"/>
        </w:rPr>
      </w:pPr>
    </w:p>
    <w:p w14:paraId="16F00658" w14:textId="033291E1" w:rsidR="00EB4FD3" w:rsidRPr="007879BE" w:rsidRDefault="00EB4FD3" w:rsidP="00EB4FD3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>References:</w:t>
      </w:r>
    </w:p>
    <w:p w14:paraId="11302933" w14:textId="77777777" w:rsidR="00EB4FD3" w:rsidRPr="002A7AB1" w:rsidRDefault="00EB4FD3" w:rsidP="00EB4FD3">
      <w:pPr>
        <w:pStyle w:val="NoSpacing"/>
        <w:rPr>
          <w:rFonts w:asciiTheme="majorHAnsi" w:hAnsiTheme="majorHAnsi" w:cs="Arial"/>
        </w:rPr>
      </w:pPr>
    </w:p>
    <w:p w14:paraId="7FA94B16" w14:textId="77777777" w:rsidR="00EB4FD3" w:rsidRPr="00217878" w:rsidRDefault="00EB4FD3" w:rsidP="009E5CAF">
      <w:pPr>
        <w:pStyle w:val="NoSpacing"/>
        <w:numPr>
          <w:ilvl w:val="0"/>
          <w:numId w:val="22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1CB288B9" w14:textId="4C45D4E9" w:rsidR="00EB4FD3" w:rsidRPr="006F7562" w:rsidRDefault="00EB4FD3" w:rsidP="009E5CAF">
      <w:pPr>
        <w:pStyle w:val="NoSpacing"/>
        <w:numPr>
          <w:ilvl w:val="0"/>
          <w:numId w:val="22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Version </w:t>
      </w:r>
      <w:r>
        <w:rPr>
          <w:rFonts w:asciiTheme="majorHAnsi" w:hAnsiTheme="majorHAnsi"/>
          <w:sz w:val="18"/>
        </w:rPr>
        <w:t>1.202</w:t>
      </w:r>
      <w:r w:rsidR="00266727">
        <w:rPr>
          <w:rFonts w:asciiTheme="majorHAnsi" w:hAnsiTheme="majorHAnsi"/>
          <w:sz w:val="18"/>
        </w:rPr>
        <w:t>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</w:t>
      </w:r>
      <w:r w:rsidRPr="006F7562">
        <w:rPr>
          <w:rFonts w:asciiTheme="majorHAnsi" w:hAnsiTheme="majorHAnsi"/>
          <w:sz w:val="18"/>
        </w:rPr>
        <w:t xml:space="preserve">. </w:t>
      </w:r>
    </w:p>
    <w:p w14:paraId="11568386" w14:textId="3CFE30FA" w:rsidR="00494651" w:rsidRPr="005E3207" w:rsidRDefault="00EB4FD3" w:rsidP="00500878">
      <w:pPr>
        <w:pStyle w:val="NoSpacing"/>
        <w:numPr>
          <w:ilvl w:val="0"/>
          <w:numId w:val="22"/>
        </w:numPr>
        <w:rPr>
          <w:rFonts w:asciiTheme="majorHAnsi" w:hAnsiTheme="majorHAnsi" w:cs="Arial"/>
          <w:sz w:val="18"/>
        </w:rPr>
      </w:pPr>
      <w:bookmarkStart w:id="0" w:name="_Hlk41049482"/>
      <w:r w:rsidRPr="005E3207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5E3207">
        <w:rPr>
          <w:rFonts w:asciiTheme="majorHAnsi" w:hAnsiTheme="majorHAnsi" w:cs="Arial"/>
          <w:sz w:val="18"/>
        </w:rPr>
        <w:t xml:space="preserve">. Genetic/Familial High-Risk Assessment: Colorectal, Endometrial and Gastric. Version </w:t>
      </w:r>
      <w:r w:rsidR="00266727" w:rsidRPr="005E3207">
        <w:rPr>
          <w:rFonts w:asciiTheme="majorHAnsi" w:hAnsiTheme="majorHAnsi" w:cs="Arial"/>
          <w:sz w:val="18"/>
        </w:rPr>
        <w:t>1.2025</w:t>
      </w:r>
      <w:r w:rsidRPr="005E3207">
        <w:rPr>
          <w:rFonts w:asciiTheme="majorHAnsi" w:hAnsiTheme="majorHAnsi" w:cs="Arial"/>
          <w:sz w:val="18"/>
        </w:rPr>
        <w:t xml:space="preserve">. </w:t>
      </w:r>
      <w:r w:rsidR="00266727" w:rsidRPr="005E3207">
        <w:rPr>
          <w:rFonts w:asciiTheme="majorHAnsi" w:hAnsiTheme="majorHAnsi" w:cs="Arial"/>
          <w:sz w:val="18"/>
        </w:rPr>
        <w:t>06/13/2025</w:t>
      </w:r>
      <w:r w:rsidRPr="005E3207">
        <w:rPr>
          <w:rFonts w:asciiTheme="majorHAnsi" w:hAnsiTheme="majorHAnsi" w:cs="Arial"/>
          <w:sz w:val="18"/>
        </w:rPr>
        <w:t xml:space="preserve">. </w:t>
      </w:r>
      <w:bookmarkEnd w:id="0"/>
    </w:p>
    <w:sectPr w:rsidR="00494651" w:rsidRPr="005E3207" w:rsidSect="002A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3DE1" w14:textId="77777777" w:rsidR="00B42A46" w:rsidRDefault="00B42A46" w:rsidP="00EA7A92">
      <w:pPr>
        <w:spacing w:after="0" w:line="240" w:lineRule="auto"/>
      </w:pPr>
      <w:r>
        <w:separator/>
      </w:r>
    </w:p>
  </w:endnote>
  <w:endnote w:type="continuationSeparator" w:id="0">
    <w:p w14:paraId="7DDE924D" w14:textId="77777777" w:rsidR="00B42A46" w:rsidRDefault="00B42A46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D1C" w14:textId="77777777" w:rsidR="00B070B0" w:rsidRDefault="00B0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5F2" w14:textId="77777777" w:rsidR="00B070B0" w:rsidRDefault="00B0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19B" w14:textId="77777777" w:rsidR="00B070B0" w:rsidRDefault="00B0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BD6E" w14:textId="77777777" w:rsidR="00B42A46" w:rsidRDefault="00B42A46" w:rsidP="00EA7A92">
      <w:pPr>
        <w:spacing w:after="0" w:line="240" w:lineRule="auto"/>
      </w:pPr>
      <w:r>
        <w:separator/>
      </w:r>
    </w:p>
  </w:footnote>
  <w:footnote w:type="continuationSeparator" w:id="0">
    <w:p w14:paraId="037A5921" w14:textId="77777777" w:rsidR="00B42A46" w:rsidRDefault="00B42A46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291" w14:textId="77777777" w:rsidR="00B070B0" w:rsidRDefault="00B0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31A968F" w:rsidR="00BE36D0" w:rsidRDefault="00B42A46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B070B0">
                            <w:rPr>
                              <w:caps/>
                              <w:color w:val="FFFFFF" w:themeColor="background1"/>
                            </w:rPr>
                            <w:t>03-13-2026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31A968F" w:rsidR="00BE36D0" w:rsidRDefault="00B42A46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B070B0">
                      <w:rPr>
                        <w:caps/>
                        <w:color w:val="FFFFFF" w:themeColor="background1"/>
                      </w:rPr>
                      <w:t>03-13-2026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E9D" w14:textId="77777777" w:rsidR="00B070B0" w:rsidRDefault="00B07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B46E3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823D9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3207"/>
    <w:rsid w:val="005E72F5"/>
    <w:rsid w:val="005F26A5"/>
    <w:rsid w:val="005F3073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279C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070B0"/>
    <w:rsid w:val="00B26A67"/>
    <w:rsid w:val="00B339E7"/>
    <w:rsid w:val="00B41F08"/>
    <w:rsid w:val="00B42A46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2026-05-13T17:27:00Z</dcterms:created>
  <dcterms:modified xsi:type="dcterms:W3CDTF">2026-05-13T17:27:00Z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