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E2B7" w14:textId="77777777" w:rsidR="00AA0B28" w:rsidRDefault="00AA0B28" w:rsidP="00AA0B28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LETTER OF MEDICAL NECESSITY FOR PRENATAL EXOME SEQUENCING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77868D46" w14:textId="77777777" w:rsidR="00AA0B28" w:rsidRDefault="00AA0B28" w:rsidP="00AA0B28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(</w:t>
      </w:r>
      <w:proofErr w:type="spellStart"/>
      <w:r>
        <w:rPr>
          <w:rStyle w:val="normaltextrun"/>
          <w:rFonts w:ascii="Cambria" w:hAnsi="Cambria"/>
          <w:b/>
          <w:bCs/>
          <w:sz w:val="22"/>
          <w:szCs w:val="22"/>
        </w:rPr>
        <w:t>ExomeNext</w:t>
      </w:r>
      <w:proofErr w:type="spellEnd"/>
      <w:r>
        <w:rPr>
          <w:rStyle w:val="normaltextrun"/>
          <w:rFonts w:ascii="Cambria" w:hAnsi="Cambria"/>
          <w:b/>
          <w:bCs/>
          <w:sz w:val="22"/>
          <w:szCs w:val="22"/>
        </w:rPr>
        <w:t>-Proband, Duo and Trio)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BE2A26E" w14:textId="77777777" w:rsidR="00A11C23" w:rsidRDefault="00A11C23" w:rsidP="00AA0B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</w:rPr>
      </w:pPr>
    </w:p>
    <w:p w14:paraId="7FE6ADF0" w14:textId="266C1808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 xml:space="preserve">Date: </w:t>
      </w:r>
      <w:r w:rsidR="00523C7F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color w:val="00B0F0"/>
          <w:sz w:val="22"/>
          <w:szCs w:val="22"/>
        </w:rPr>
        <w:t>Date of service/claim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4FABC599" w14:textId="77777777" w:rsidR="00AA0B28" w:rsidRDefault="00AA0B28" w:rsidP="00AA0B28">
      <w:pPr>
        <w:pStyle w:val="paragraph"/>
        <w:spacing w:before="0" w:beforeAutospacing="0" w:after="0" w:afterAutospacing="0"/>
        <w:ind w:left="5760"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BC870B4" w14:textId="58F18FC0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To: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523C7F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Utilization Review Department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23984F02" w14:textId="77777777" w:rsidR="00AA0B28" w:rsidRDefault="00AA0B28" w:rsidP="00523C7F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>Insurance Company Name, Address, City, State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251BBA3F" w14:textId="77777777" w:rsidR="00AA0B28" w:rsidRDefault="00AA0B28" w:rsidP="00AA0B28">
      <w:pPr>
        <w:pStyle w:val="paragraph"/>
        <w:spacing w:before="0" w:beforeAutospacing="0" w:after="0" w:afterAutospacing="0"/>
        <w:ind w:firstLine="360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33C4D768" w14:textId="462499EF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Re: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523C7F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mbria" w:hAnsi="Cambria"/>
          <w:color w:val="00B0F0"/>
          <w:sz w:val="22"/>
          <w:szCs w:val="22"/>
        </w:rPr>
        <w:t>Patient Name, DOB, ID #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2188866D" w14:textId="77777777" w:rsidR="00AA0B28" w:rsidRDefault="00AA0B28" w:rsidP="00523C7F">
      <w:pPr>
        <w:pStyle w:val="paragraph"/>
        <w:pBdr>
          <w:bottom w:val="single" w:sz="12" w:space="1" w:color="auto"/>
        </w:pBdr>
        <w:spacing w:before="0" w:beforeAutospacing="0" w:after="0" w:afterAutospacing="0"/>
        <w:ind w:firstLine="144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0D99CEAE" w14:textId="77777777" w:rsidR="00AA0B28" w:rsidRDefault="00AA0B28" w:rsidP="00AA0B28">
      <w:pPr>
        <w:pStyle w:val="paragraph"/>
        <w:spacing w:before="0" w:beforeAutospacing="0" w:after="0" w:afterAutospacing="0"/>
        <w:ind w:firstLine="288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  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267F9D5A" w14:textId="7162A9B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0000"/>
          <w:sz w:val="22"/>
          <w:szCs w:val="22"/>
        </w:rPr>
        <w:t>This letter is regarding my patient and your subscriber, referenced above,</w:t>
      </w:r>
      <w:r>
        <w:rPr>
          <w:rStyle w:val="normaltextrun"/>
          <w:rFonts w:ascii="Cambria" w:hAnsi="Cambria"/>
          <w:color w:val="00B0F0"/>
          <w:sz w:val="22"/>
          <w:szCs w:val="22"/>
        </w:rPr>
        <w:t xml:space="preserve"> </w:t>
      </w: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requesting full coverage of medically indicated prenatal genetic testing for exome sequencing to be performed </w:t>
      </w:r>
      <w:r>
        <w:rPr>
          <w:rStyle w:val="normaltextrun"/>
          <w:rFonts w:ascii="Cambria" w:hAnsi="Cambria"/>
          <w:sz w:val="22"/>
          <w:szCs w:val="22"/>
        </w:rPr>
        <w:t>by Ambry Genetics Corporation.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8C456D9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6F446B71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0000"/>
          <w:sz w:val="22"/>
          <w:szCs w:val="22"/>
        </w:rPr>
        <w:t>Exome sequencing analyzes the set of protein-coding regions of the human genome. Approximately 85% of genetic changes that cause known diseases occur within exomes.</w:t>
      </w:r>
      <w:r>
        <w:rPr>
          <w:rStyle w:val="normaltextrun"/>
          <w:rFonts w:ascii="Cambria" w:hAnsi="Cambria"/>
          <w:color w:val="000000"/>
          <w:sz w:val="17"/>
          <w:szCs w:val="17"/>
          <w:vertAlign w:val="superscript"/>
        </w:rPr>
        <w:t>1</w:t>
      </w: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 </w:t>
      </w:r>
      <w:r>
        <w:rPr>
          <w:rStyle w:val="normaltextrun"/>
          <w:rFonts w:ascii="Cambria" w:hAnsi="Cambria"/>
          <w:sz w:val="22"/>
          <w:szCs w:val="22"/>
        </w:rPr>
        <w:t>Although not required, testing of additional family members (usually parents and/or siblings) along with the patient/proband, referred to as duo or trio testing, can add additional comparative information that is helpful in reaching a genetic diagnosis. Whole exome sequencing has been shown to be highly effective for diagnosing individuals with previously unidentified genetic conditions.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2,3,4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2EDAB920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17FCC9D5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The American College of Medical Genetics and Genomics (ACMG) 2012 Policy Statement on genomic sequencing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5</w:t>
      </w:r>
      <w:r>
        <w:rPr>
          <w:rStyle w:val="normaltextrun"/>
          <w:rFonts w:ascii="Cambria" w:hAnsi="Cambria"/>
          <w:sz w:val="22"/>
          <w:szCs w:val="22"/>
        </w:rPr>
        <w:t xml:space="preserve"> recommended exome sequencing for the following clinical scenarios</w:t>
      </w:r>
      <w:r>
        <w:rPr>
          <w:rStyle w:val="normaltextrun"/>
          <w:rFonts w:ascii="Cambria" w:hAnsi="Cambria"/>
          <w:b/>
          <w:bCs/>
          <w:sz w:val="22"/>
          <w:szCs w:val="22"/>
        </w:rPr>
        <w:t>: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6161272" w14:textId="77777777" w:rsidR="00523C7F" w:rsidRDefault="00AA0B28" w:rsidP="00DD449B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normaltextrun"/>
          <w:rFonts w:ascii="Cambria" w:hAnsi="Cambria"/>
          <w:color w:val="000000"/>
          <w:sz w:val="22"/>
          <w:szCs w:val="22"/>
        </w:rPr>
        <w:t>The patient’s clinical presentation (phenotype) and family history strongly implicate a genetic etiology, but phenotype does not correspond with a specific disorder for which a clinical targeted genetic test is available; or </w:t>
      </w: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6BEC113B" w14:textId="77777777" w:rsidR="00523C7F" w:rsidRDefault="00AA0B28" w:rsidP="00DD449B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523C7F">
        <w:rPr>
          <w:rStyle w:val="normaltextrun"/>
          <w:rFonts w:ascii="Cambria" w:hAnsi="Cambria"/>
          <w:b/>
          <w:bCs/>
          <w:color w:val="000000"/>
          <w:sz w:val="22"/>
          <w:szCs w:val="22"/>
        </w:rPr>
        <w:t>Clinical presentation (</w:t>
      </w:r>
      <w:r w:rsidRPr="00523C7F">
        <w:rPr>
          <w:rStyle w:val="normaltextrun"/>
          <w:rFonts w:ascii="Cambria" w:hAnsi="Cambria"/>
          <w:b/>
          <w:bCs/>
          <w:color w:val="000000"/>
          <w:sz w:val="22"/>
          <w:szCs w:val="22"/>
          <w:u w:val="single"/>
        </w:rPr>
        <w:t>including fetal</w:t>
      </w:r>
      <w:r w:rsidRPr="00523C7F">
        <w:rPr>
          <w:rStyle w:val="normaltextrun"/>
          <w:rFonts w:ascii="Cambria" w:hAnsi="Cambria"/>
          <w:b/>
          <w:bCs/>
          <w:color w:val="000000"/>
          <w:sz w:val="22"/>
          <w:szCs w:val="22"/>
        </w:rPr>
        <w:t>, with limitations) suggests a likely genetic disorder, but specific genetic tests (including targeted sequencing tests) for phenotype have failed to provide a diagnosis</w:t>
      </w:r>
      <w:r w:rsidRPr="00523C7F">
        <w:rPr>
          <w:rStyle w:val="normaltextrun"/>
          <w:rFonts w:ascii="Cambria" w:hAnsi="Cambria"/>
          <w:color w:val="000000"/>
          <w:sz w:val="22"/>
          <w:szCs w:val="22"/>
        </w:rPr>
        <w:t>; or</w:t>
      </w:r>
      <w:r w:rsidRPr="00523C7F"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20B1EAEA" w14:textId="31B445F2" w:rsidR="00AA0B28" w:rsidRPr="00523C7F" w:rsidRDefault="00AA0B28" w:rsidP="00DD449B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523C7F">
        <w:rPr>
          <w:rStyle w:val="normaltextrun"/>
          <w:rFonts w:ascii="Cambria" w:hAnsi="Cambria"/>
          <w:color w:val="000000"/>
          <w:sz w:val="22"/>
          <w:szCs w:val="22"/>
        </w:rPr>
        <w:t>A defined genetic disorder with a high degree of genetic heterogeneity is suspected, making whole exome or genome sequencing of multiple genes simultaneously a more practical approach</w:t>
      </w:r>
      <w:r w:rsidRPr="00523C7F"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648DC6EE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2E1593F2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In 2020, the ACMG published a “points to consider” document regarding the use of fetal exome sequencing in </w:t>
      </w:r>
      <w:r>
        <w:rPr>
          <w:rStyle w:val="normaltextrun"/>
          <w:rFonts w:ascii="Cambria" w:hAnsi="Cambria"/>
          <w:color w:val="000000"/>
          <w:sz w:val="22"/>
          <w:szCs w:val="22"/>
          <w:u w:val="single"/>
        </w:rPr>
        <w:t>prenatal</w:t>
      </w: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 diagnosis</w:t>
      </w:r>
      <w:r>
        <w:rPr>
          <w:rStyle w:val="normaltextrun"/>
          <w:rFonts w:ascii="Cambria" w:hAnsi="Cambria"/>
          <w:color w:val="000000"/>
          <w:sz w:val="17"/>
          <w:szCs w:val="17"/>
          <w:vertAlign w:val="superscript"/>
        </w:rPr>
        <w:t>6</w:t>
      </w:r>
      <w:r>
        <w:rPr>
          <w:rStyle w:val="normaltextrun"/>
          <w:rFonts w:ascii="Cambria" w:hAnsi="Cambria"/>
          <w:color w:val="000000"/>
          <w:sz w:val="22"/>
          <w:szCs w:val="22"/>
        </w:rPr>
        <w:t>, which states that</w:t>
      </w:r>
      <w:r>
        <w:rPr>
          <w:rStyle w:val="normaltextrun"/>
          <w:rFonts w:ascii="Cambria" w:hAnsi="Cambria"/>
          <w:b/>
          <w:bCs/>
          <w:color w:val="000000"/>
          <w:sz w:val="22"/>
          <w:szCs w:val="22"/>
        </w:rPr>
        <w:t xml:space="preserve"> “exome sequencing may be considered when a diagnosis cannot be obtained using routine prenatal methods in a fetus with one or more significant anomalies</w:t>
      </w:r>
      <w:r>
        <w:rPr>
          <w:rStyle w:val="normaltextrun"/>
          <w:rFonts w:ascii="Cambria" w:hAnsi="Cambria"/>
          <w:color w:val="000000"/>
          <w:sz w:val="22"/>
          <w:szCs w:val="22"/>
        </w:rPr>
        <w:t>.” Prenatal exome sequencing provides a diagnosis in approximately 31% of cases when chromosome microarray or karyotype is non-diagnostic</w:t>
      </w:r>
      <w:r>
        <w:rPr>
          <w:rStyle w:val="normaltextrun"/>
          <w:rFonts w:ascii="Cambria" w:hAnsi="Cambria"/>
          <w:color w:val="000000"/>
          <w:sz w:val="17"/>
          <w:szCs w:val="17"/>
          <w:vertAlign w:val="superscript"/>
        </w:rPr>
        <w:t>9</w:t>
      </w:r>
      <w:r>
        <w:rPr>
          <w:rStyle w:val="eop"/>
          <w:rFonts w:ascii="Cambria" w:hAnsi="Cambria"/>
          <w:color w:val="000000"/>
          <w:sz w:val="17"/>
          <w:szCs w:val="17"/>
        </w:rPr>
        <w:t> </w:t>
      </w:r>
    </w:p>
    <w:p w14:paraId="0CD96B95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0C00DD3E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More recently, the ACMG 2021 clinical guideline on genomic sequencing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7</w:t>
      </w:r>
      <w:r>
        <w:rPr>
          <w:rStyle w:val="normaltextrun"/>
          <w:rFonts w:ascii="Cambria" w:hAnsi="Cambria"/>
          <w:sz w:val="22"/>
          <w:szCs w:val="22"/>
        </w:rPr>
        <w:t xml:space="preserve"> </w:t>
      </w:r>
      <w:r>
        <w:rPr>
          <w:rStyle w:val="normaltextrun"/>
          <w:rFonts w:ascii="Cambria" w:hAnsi="Cambria"/>
          <w:b/>
          <w:bCs/>
          <w:sz w:val="22"/>
          <w:szCs w:val="22"/>
        </w:rPr>
        <w:t>strongly recommends exome sequencing as a first- or second-tier test for patients with one or more congenital anomalies diagnosed prior to one year of age.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8344A26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290D573E" w14:textId="5A32DB89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/>
          <w:color w:val="00B0F0"/>
          <w:sz w:val="22"/>
          <w:szCs w:val="22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 xml:space="preserve">Significant aspects of my patient’s medical and/or family history that raise suspicion of an underlying genetic diagnosis are as follows: </w:t>
      </w:r>
      <w:r>
        <w:rPr>
          <w:rStyle w:val="normaltextrun"/>
          <w:rFonts w:ascii="Cambria" w:hAnsi="Cambria"/>
          <w:b/>
          <w:bCs/>
          <w:color w:val="00B0F0"/>
          <w:sz w:val="22"/>
          <w:szCs w:val="22"/>
        </w:rPr>
        <w:t>[check all that apply]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7FD8AB47" w14:textId="4235CE77" w:rsidR="00AA0B28" w:rsidRPr="00A11C23" w:rsidRDefault="00AA0B28" w:rsidP="00A11C23">
      <w:pPr>
        <w:rPr>
          <w:rFonts w:ascii="Cambria" w:eastAsia="Times New Roman" w:hAnsi="Cambria" w:cs="Times New Roman"/>
          <w:color w:val="00B0F0"/>
        </w:rPr>
      </w:pPr>
      <w:r>
        <w:rPr>
          <w:rStyle w:val="eop"/>
          <w:rFonts w:ascii="Cambria" w:hAnsi="Cambria"/>
          <w:color w:val="00B0F0"/>
        </w:rPr>
        <w:br w:type="page"/>
      </w:r>
    </w:p>
    <w:p w14:paraId="362FC71E" w14:textId="77777777" w:rsidR="00AA0B28" w:rsidRPr="00523C7F" w:rsidRDefault="00AA0B28" w:rsidP="00DD449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523C7F">
        <w:rPr>
          <w:rStyle w:val="normaltextrun"/>
          <w:rFonts w:ascii="Cambria" w:hAnsi="Cambria"/>
          <w:color w:val="00B0F0"/>
          <w:sz w:val="22"/>
          <w:szCs w:val="22"/>
        </w:rPr>
        <w:lastRenderedPageBreak/>
        <w:t>Two or more anomalies affecting more than one unrelated organ system</w:t>
      </w:r>
      <w:r w:rsidRPr="00523C7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61F69B58" w14:textId="77777777" w:rsidR="00AA0B28" w:rsidRPr="00523C7F" w:rsidRDefault="00AA0B28" w:rsidP="00DD449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523C7F">
        <w:rPr>
          <w:rStyle w:val="normaltextrun"/>
          <w:rFonts w:ascii="Cambria" w:hAnsi="Cambria"/>
          <w:color w:val="00B0F0"/>
          <w:sz w:val="22"/>
          <w:szCs w:val="22"/>
        </w:rPr>
        <w:t>An anomaly affecting a single organ system</w:t>
      </w:r>
      <w:r w:rsidRPr="00523C7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CB269D1" w14:textId="77777777" w:rsidR="00AA0B28" w:rsidRPr="00523C7F" w:rsidRDefault="00AA0B28" w:rsidP="00DD449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523C7F">
        <w:rPr>
          <w:rStyle w:val="normaltextrun"/>
          <w:rFonts w:ascii="Cambria" w:hAnsi="Cambria"/>
          <w:color w:val="00B0F0"/>
          <w:sz w:val="22"/>
          <w:szCs w:val="22"/>
        </w:rPr>
        <w:t>Anatomic findings characteristic of a genetic abnormality</w:t>
      </w:r>
      <w:r w:rsidRPr="00523C7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73925183" w14:textId="77777777" w:rsidR="00AA0B28" w:rsidRPr="00523C7F" w:rsidRDefault="00AA0B28" w:rsidP="00DD449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523C7F">
        <w:rPr>
          <w:rStyle w:val="normaltextrun"/>
          <w:rFonts w:ascii="Cambria" w:hAnsi="Cambria"/>
          <w:color w:val="00B0F0"/>
          <w:sz w:val="22"/>
          <w:szCs w:val="22"/>
        </w:rPr>
        <w:t>Fetal hydrops of unknown etiology</w:t>
      </w:r>
      <w:r w:rsidRPr="00523C7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F4DFF95" w14:textId="77777777" w:rsidR="00AA0B28" w:rsidRPr="00523C7F" w:rsidRDefault="00AA0B28" w:rsidP="00DD449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523C7F">
        <w:rPr>
          <w:rStyle w:val="normaltextrun"/>
          <w:rFonts w:ascii="Cambria" w:hAnsi="Cambria"/>
          <w:color w:val="00B0F0"/>
          <w:sz w:val="22"/>
          <w:szCs w:val="22"/>
        </w:rPr>
        <w:t>Family history strongly suggestive of a genetic etiology</w:t>
      </w:r>
      <w:r w:rsidRPr="00523C7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7E52CDAB" w14:textId="7E7ED090" w:rsidR="00AA0B28" w:rsidRPr="00523C7F" w:rsidRDefault="00AA0B28" w:rsidP="00DD449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523C7F">
        <w:rPr>
          <w:rStyle w:val="normaltextrun"/>
          <w:rFonts w:ascii="Cambria" w:hAnsi="Cambria"/>
          <w:color w:val="00B0F0"/>
          <w:sz w:val="22"/>
          <w:szCs w:val="22"/>
        </w:rPr>
        <w:t>Previous prenatal testing has failed to identify a diagnosis in my patient </w:t>
      </w:r>
      <w:r w:rsidRPr="00523C7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9A91175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60F848D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Clinical exome sequencing has a significant likelihood of providing my patient and family with an accurate diagnosis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 xml:space="preserve"> 8,9</w:t>
      </w:r>
      <w:r>
        <w:rPr>
          <w:rStyle w:val="normaltextrun"/>
          <w:rFonts w:ascii="Cambria" w:hAnsi="Cambria"/>
          <w:b/>
          <w:bCs/>
          <w:sz w:val="22"/>
          <w:szCs w:val="22"/>
        </w:rPr>
        <w:t>.</w:t>
      </w:r>
      <w:r>
        <w:rPr>
          <w:rStyle w:val="normaltextrun"/>
          <w:rFonts w:ascii="Cambria" w:hAnsi="Cambria"/>
          <w:sz w:val="22"/>
          <w:szCs w:val="22"/>
        </w:rPr>
        <w:t xml:space="preserve"> This, in turn, can lead to: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4C5D0743" w14:textId="77777777" w:rsidR="00AA0B28" w:rsidRDefault="00AA0B28" w:rsidP="00DD449B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Specific treatment or management strategies that can dramatically change the clinical outcome.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2,3,4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27EC80DD" w14:textId="77777777" w:rsidR="00AA0B28" w:rsidRDefault="00AA0B28" w:rsidP="00DD449B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Identification of necessary postnatal medical referrals, screening for associated complications, and recurrence risk counseling.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2,3,4 </w:t>
      </w:r>
      <w:r>
        <w:rPr>
          <w:rStyle w:val="eop"/>
          <w:rFonts w:ascii="Cambria" w:hAnsi="Cambria"/>
          <w:sz w:val="17"/>
          <w:szCs w:val="17"/>
        </w:rPr>
        <w:t> </w:t>
      </w:r>
    </w:p>
    <w:p w14:paraId="37186ADD" w14:textId="77777777" w:rsidR="00AA0B28" w:rsidRDefault="00AA0B28" w:rsidP="00DD449B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Decreased medical costs due to ending the diagnostic odyssey.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2,3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3EC86C30" w14:textId="77777777" w:rsidR="00AA0B28" w:rsidRDefault="00AA0B28" w:rsidP="00AA0B28">
      <w:pPr>
        <w:pStyle w:val="paragraph"/>
        <w:spacing w:before="0" w:beforeAutospacing="0" w:after="0" w:afterAutospacing="0"/>
        <w:ind w:left="765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29EB475A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As such, I am ordering this medically necessary test and affirm that my patient has provided informed consent for genetic testing.</w:t>
      </w:r>
      <w:r>
        <w:rPr>
          <w:rStyle w:val="normaltextrun"/>
          <w:rFonts w:ascii="Cambria" w:hAnsi="Cambria"/>
          <w:sz w:val="22"/>
          <w:szCs w:val="22"/>
        </w:rPr>
        <w:t xml:space="preserve"> </w:t>
      </w:r>
      <w:r>
        <w:rPr>
          <w:rStyle w:val="normaltextrun"/>
          <w:rFonts w:ascii="Cambria" w:hAnsi="Cambria"/>
          <w:color w:val="000000"/>
          <w:sz w:val="22"/>
          <w:szCs w:val="22"/>
        </w:rPr>
        <w:t>I recommend that you support this request for coverage of exome sequencing in my patient.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421D2056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26E5882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Thank you for your time and please don’t hesitate to contact me with any questions.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E466831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3E17E81B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Sincerely,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36303883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2F4D839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3617EC5B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>Ordering Clinician Name</w:t>
      </w:r>
      <w:r>
        <w:rPr>
          <w:rStyle w:val="normaltextrun"/>
          <w:rFonts w:ascii="Cambria" w:hAnsi="Cambria"/>
          <w:sz w:val="22"/>
          <w:szCs w:val="22"/>
        </w:rPr>
        <w:t xml:space="preserve"> (Signature Provided on Test Requisition Form)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4ED33D65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(MD/DO, Clinical Nurse Specialist, Nurse-Midwives, Nurse Practitioner, Physician Assistant, Genetic Counselor*)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8E71978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4C8D8E6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*Authorized clinician requirements vary by state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5835D442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241CC69D" w14:textId="48B878D6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Test Details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8008A79" w14:textId="77777777" w:rsidR="005A0303" w:rsidRDefault="005A0303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</w:p>
    <w:p w14:paraId="7EFC3851" w14:textId="77CD30E6" w:rsidR="00AA0B28" w:rsidRDefault="00AA0B28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 xml:space="preserve">CPT codes: </w:t>
      </w:r>
      <w:r w:rsidR="00392C96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81415, 81416x2, 81460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5D9EBCE" w14:textId="77777777" w:rsidR="005A0303" w:rsidRDefault="005A0303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16"/>
          <w:szCs w:val="16"/>
        </w:rPr>
      </w:pPr>
    </w:p>
    <w:p w14:paraId="2D097FFA" w14:textId="756B3FB8" w:rsidR="00AA0B28" w:rsidRDefault="00AA0B28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 xml:space="preserve">Laboratory: </w:t>
      </w:r>
      <w:r w:rsidR="00392C96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Ambry Genetics Corporation (TIN 33-0892453 / NPI 1861568784), a CAP-accredited and CLIA-certified laboratory located at 7 Argonaut, Aliso Viejo, CA 92656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07F59BC" w14:textId="77777777" w:rsidR="00AA0B28" w:rsidRDefault="00AA0B28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10A258D1" w14:textId="240A7D20" w:rsidR="00AA0B28" w:rsidRPr="005C30C1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b/>
          <w:bCs/>
          <w:sz w:val="16"/>
          <w:szCs w:val="16"/>
        </w:rPr>
      </w:pPr>
      <w:r w:rsidRPr="005C30C1">
        <w:rPr>
          <w:rStyle w:val="normaltextrun"/>
          <w:rFonts w:ascii="Cambria" w:hAnsi="Cambria"/>
          <w:b/>
          <w:bCs/>
          <w:sz w:val="22"/>
          <w:szCs w:val="22"/>
        </w:rPr>
        <w:t>References</w:t>
      </w:r>
      <w:r w:rsidRPr="005C30C1">
        <w:rPr>
          <w:rStyle w:val="eop"/>
          <w:rFonts w:ascii="Cambria" w:hAnsi="Cambria"/>
          <w:b/>
          <w:bCs/>
          <w:sz w:val="22"/>
          <w:szCs w:val="22"/>
        </w:rPr>
        <w:t> </w:t>
      </w:r>
    </w:p>
    <w:p w14:paraId="3F360365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16"/>
          <w:szCs w:val="16"/>
        </w:rPr>
        <w:t> </w:t>
      </w:r>
    </w:p>
    <w:p w14:paraId="162D1FBF" w14:textId="77777777" w:rsidR="00AA0B28" w:rsidRDefault="00AA0B28" w:rsidP="0031324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proofErr w:type="spellStart"/>
      <w:r>
        <w:rPr>
          <w:rStyle w:val="normaltextrun"/>
          <w:rFonts w:ascii="Cambria" w:hAnsi="Cambria"/>
          <w:sz w:val="16"/>
          <w:szCs w:val="16"/>
        </w:rPr>
        <w:t>Pussegoda</w:t>
      </w:r>
      <w:proofErr w:type="spellEnd"/>
      <w:r>
        <w:rPr>
          <w:rStyle w:val="normaltextrun"/>
          <w:rFonts w:ascii="Cambria" w:hAnsi="Cambria"/>
          <w:sz w:val="16"/>
          <w:szCs w:val="16"/>
        </w:rPr>
        <w:t xml:space="preserve"> KA. Exome sequencing: locating causative genes in rare disorders. </w:t>
      </w:r>
      <w:r>
        <w:rPr>
          <w:rStyle w:val="normaltextrun"/>
          <w:rFonts w:ascii="Cambria" w:hAnsi="Cambria"/>
          <w:sz w:val="16"/>
          <w:szCs w:val="16"/>
          <w:u w:val="single"/>
        </w:rPr>
        <w:t>Clin Genet</w:t>
      </w:r>
      <w:r>
        <w:rPr>
          <w:rStyle w:val="normaltextrun"/>
          <w:rFonts w:ascii="Cambria" w:hAnsi="Cambria"/>
          <w:sz w:val="16"/>
          <w:szCs w:val="16"/>
        </w:rPr>
        <w:t>. 2010 Jul;78(1):32-3.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5C27A4FF" w14:textId="77777777" w:rsidR="00AA0B28" w:rsidRDefault="00AA0B28" w:rsidP="00313242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Biesecker LG and Green RC. Diagnostic clinical genome and exome sequencing. </w:t>
      </w:r>
      <w:r>
        <w:rPr>
          <w:rStyle w:val="normaltextrun"/>
          <w:rFonts w:ascii="Cambria" w:hAnsi="Cambria"/>
          <w:sz w:val="16"/>
          <w:szCs w:val="16"/>
          <w:u w:val="single"/>
        </w:rPr>
        <w:t>N Engl J Med</w:t>
      </w:r>
      <w:r>
        <w:rPr>
          <w:rStyle w:val="normaltextrun"/>
          <w:rFonts w:ascii="Cambria" w:hAnsi="Cambria"/>
          <w:sz w:val="16"/>
          <w:szCs w:val="16"/>
        </w:rPr>
        <w:t>. 2014;370:2418-25.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77F1B6D5" w14:textId="77777777" w:rsidR="00AA0B28" w:rsidRDefault="00AA0B28" w:rsidP="00313242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Iglesias A, </w:t>
      </w:r>
      <w:r>
        <w:rPr>
          <w:rStyle w:val="normaltextrun"/>
          <w:rFonts w:ascii="Cambria" w:hAnsi="Cambria"/>
          <w:i/>
          <w:iCs/>
          <w:sz w:val="16"/>
          <w:szCs w:val="16"/>
        </w:rPr>
        <w:t>et al</w:t>
      </w:r>
      <w:r>
        <w:rPr>
          <w:rStyle w:val="normaltextrun"/>
          <w:rFonts w:ascii="Cambria" w:hAnsi="Cambria"/>
          <w:sz w:val="16"/>
          <w:szCs w:val="16"/>
        </w:rPr>
        <w:t xml:space="preserve">. The usefulness of whole-exome sequencing in routine clinical practice. </w:t>
      </w:r>
      <w:r>
        <w:rPr>
          <w:rStyle w:val="normaltextrun"/>
          <w:rFonts w:ascii="Cambria" w:hAnsi="Cambria"/>
          <w:sz w:val="16"/>
          <w:szCs w:val="16"/>
          <w:u w:val="single"/>
        </w:rPr>
        <w:t>Genet Med</w:t>
      </w:r>
      <w:r>
        <w:rPr>
          <w:rStyle w:val="normaltextrun"/>
          <w:rFonts w:ascii="Cambria" w:hAnsi="Cambria"/>
          <w:sz w:val="16"/>
          <w:szCs w:val="16"/>
        </w:rPr>
        <w:t>. 2014;16:922-931.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0EFFEE50" w14:textId="77777777" w:rsidR="00AA0B28" w:rsidRDefault="00AA0B28" w:rsidP="00313242">
      <w:pPr>
        <w:pStyle w:val="paragraph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Malinowski J, </w:t>
      </w:r>
      <w:r>
        <w:rPr>
          <w:rStyle w:val="normaltextrun"/>
          <w:rFonts w:ascii="Cambria" w:hAnsi="Cambria"/>
          <w:i/>
          <w:iCs/>
          <w:sz w:val="16"/>
          <w:szCs w:val="16"/>
        </w:rPr>
        <w:t xml:space="preserve">et al. </w:t>
      </w:r>
      <w:r>
        <w:rPr>
          <w:rStyle w:val="normaltextrun"/>
          <w:rFonts w:ascii="Cambria" w:hAnsi="Cambria"/>
          <w:sz w:val="16"/>
          <w:szCs w:val="16"/>
        </w:rPr>
        <w:t>Systematic evidence-based review: outcomes from exome and genome sequencing for pediatric patients with congenital anomalies or intellectual disability. Genet Med</w:t>
      </w:r>
      <w:r>
        <w:rPr>
          <w:rStyle w:val="normaltextrun"/>
          <w:rFonts w:ascii="Cambria" w:hAnsi="Cambria"/>
          <w:sz w:val="16"/>
          <w:szCs w:val="16"/>
          <w:u w:val="single"/>
        </w:rPr>
        <w:t>. 2020;22(6):986-1004.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0B6619F4" w14:textId="77777777" w:rsidR="00AA0B28" w:rsidRDefault="00AA0B28" w:rsidP="00313242">
      <w:pPr>
        <w:pStyle w:val="paragraph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ACMG Board of Directors. ACMG Policy Statement: Points to consider in the clinical application of genomic sequencing. </w:t>
      </w:r>
      <w:r>
        <w:rPr>
          <w:rStyle w:val="normaltextrun"/>
          <w:rFonts w:ascii="Cambria" w:hAnsi="Cambria"/>
          <w:sz w:val="16"/>
          <w:szCs w:val="16"/>
          <w:u w:val="single"/>
        </w:rPr>
        <w:t>Genet Med</w:t>
      </w:r>
      <w:r>
        <w:rPr>
          <w:rStyle w:val="normaltextrun"/>
          <w:rFonts w:ascii="Cambria" w:hAnsi="Cambria"/>
          <w:sz w:val="16"/>
          <w:szCs w:val="16"/>
        </w:rPr>
        <w:t>. 2012;14(8):759-76.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66FE6388" w14:textId="77777777" w:rsidR="00AA0B28" w:rsidRDefault="00AA0B28" w:rsidP="00313242">
      <w:pPr>
        <w:pStyle w:val="paragraph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Monaghan KG, </w:t>
      </w:r>
      <w:r>
        <w:rPr>
          <w:rStyle w:val="normaltextrun"/>
          <w:rFonts w:ascii="Cambria" w:hAnsi="Cambria"/>
          <w:i/>
          <w:iCs/>
          <w:sz w:val="16"/>
          <w:szCs w:val="16"/>
        </w:rPr>
        <w:t xml:space="preserve">et al. </w:t>
      </w:r>
      <w:r>
        <w:rPr>
          <w:rStyle w:val="normaltextrun"/>
          <w:rFonts w:ascii="Cambria" w:hAnsi="Cambria"/>
          <w:sz w:val="16"/>
          <w:szCs w:val="16"/>
        </w:rPr>
        <w:t>The use of fetal exome sequencing in prenatal diagnosis: a points to consider document of the American College of Medical Genetics and Genomics (ACMG).</w:t>
      </w:r>
      <w:r>
        <w:rPr>
          <w:rStyle w:val="normaltextrun"/>
          <w:rFonts w:ascii="Cambria" w:hAnsi="Cambria"/>
          <w:sz w:val="16"/>
          <w:szCs w:val="16"/>
          <w:u w:val="single"/>
        </w:rPr>
        <w:t xml:space="preserve"> </w:t>
      </w:r>
      <w:r>
        <w:rPr>
          <w:rStyle w:val="normaltextrun"/>
          <w:rFonts w:ascii="Cambria" w:hAnsi="Cambria"/>
          <w:sz w:val="16"/>
          <w:szCs w:val="16"/>
        </w:rPr>
        <w:t>Genet Med.</w:t>
      </w:r>
      <w:r>
        <w:rPr>
          <w:rStyle w:val="normaltextrun"/>
          <w:rFonts w:ascii="Cambria" w:hAnsi="Cambria"/>
          <w:sz w:val="16"/>
          <w:szCs w:val="16"/>
          <w:u w:val="single"/>
        </w:rPr>
        <w:t xml:space="preserve"> 2020;22:675-680. 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483D3398" w14:textId="77777777" w:rsidR="00AA0B28" w:rsidRDefault="00AA0B28" w:rsidP="00313242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>Manickam K. Exome and genome sequencing for pediatric patients with congenital anomalies or intellectual disability: an evidence-based clinical guideline of the American College of Medical Genetics and Genomics (ACMG). Genet Med 2021:23:2029-2037.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6EF12A3A" w14:textId="77777777" w:rsidR="00AA0B28" w:rsidRDefault="00AA0B28" w:rsidP="00313242">
      <w:pPr>
        <w:pStyle w:val="paragraph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Farwell KD, </w:t>
      </w:r>
      <w:r>
        <w:rPr>
          <w:rStyle w:val="normaltextrun"/>
          <w:rFonts w:ascii="Cambria" w:hAnsi="Cambria"/>
          <w:i/>
          <w:iCs/>
          <w:sz w:val="16"/>
          <w:szCs w:val="16"/>
        </w:rPr>
        <w:t>et al</w:t>
      </w:r>
      <w:r>
        <w:rPr>
          <w:rStyle w:val="normaltextrun"/>
          <w:rFonts w:ascii="Cambria" w:hAnsi="Cambria"/>
          <w:sz w:val="16"/>
          <w:szCs w:val="16"/>
        </w:rPr>
        <w:t xml:space="preserve">. Enhanced utility of family-centered diagnostic exome sequencing with inheritance model-based analysis: results from 500 unselected families with undiagnosed genetic conditions. </w:t>
      </w:r>
      <w:hyperlink r:id="rId7" w:tgtFrame="_blank" w:history="1">
        <w:r>
          <w:rPr>
            <w:rStyle w:val="normaltextrun"/>
            <w:rFonts w:ascii="Cambria" w:hAnsi="Cambria"/>
            <w:sz w:val="16"/>
            <w:szCs w:val="16"/>
            <w:u w:val="single"/>
          </w:rPr>
          <w:t>Genet Med</w:t>
        </w:r>
        <w:r>
          <w:rPr>
            <w:rStyle w:val="normaltextrun"/>
            <w:rFonts w:ascii="Cambria" w:hAnsi="Cambria"/>
            <w:sz w:val="16"/>
            <w:szCs w:val="16"/>
          </w:rPr>
          <w:t>.</w:t>
        </w:r>
      </w:hyperlink>
      <w:r>
        <w:rPr>
          <w:rStyle w:val="normaltextrun"/>
          <w:rFonts w:ascii="Cambria" w:hAnsi="Cambria"/>
          <w:sz w:val="16"/>
          <w:szCs w:val="16"/>
        </w:rPr>
        <w:t> 2015;17:578-586.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34EDF55F" w14:textId="77777777" w:rsidR="00AA0B28" w:rsidRDefault="00AA0B28" w:rsidP="00313242">
      <w:pPr>
        <w:pStyle w:val="paragraph"/>
        <w:numPr>
          <w:ilvl w:val="0"/>
          <w:numId w:val="17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  <w:u w:val="single"/>
        </w:rPr>
        <w:t xml:space="preserve">Mellis R, </w:t>
      </w:r>
      <w:r>
        <w:rPr>
          <w:rStyle w:val="normaltextrun"/>
          <w:rFonts w:ascii="Cambria" w:hAnsi="Cambria"/>
          <w:i/>
          <w:iCs/>
          <w:sz w:val="16"/>
          <w:szCs w:val="16"/>
          <w:u w:val="single"/>
        </w:rPr>
        <w:t xml:space="preserve">et al. </w:t>
      </w:r>
      <w:r>
        <w:rPr>
          <w:rStyle w:val="normaltextrun"/>
          <w:rFonts w:ascii="Cambria" w:hAnsi="Cambria"/>
          <w:sz w:val="16"/>
          <w:szCs w:val="16"/>
          <w:u w:val="single"/>
        </w:rPr>
        <w:t xml:space="preserve">Diagnostic yield of exome sequencing for prenatal diagnosis of fetal structural anomalies: A systematic review and meta-analysis. </w:t>
      </w:r>
      <w:proofErr w:type="spellStart"/>
      <w:r>
        <w:rPr>
          <w:rStyle w:val="normaltextrun"/>
          <w:rFonts w:ascii="Cambria" w:hAnsi="Cambria"/>
          <w:sz w:val="16"/>
          <w:szCs w:val="16"/>
        </w:rPr>
        <w:t>Prenat</w:t>
      </w:r>
      <w:proofErr w:type="spellEnd"/>
      <w:r>
        <w:rPr>
          <w:rStyle w:val="normaltextrun"/>
          <w:rFonts w:ascii="Cambria" w:hAnsi="Cambria"/>
          <w:sz w:val="16"/>
          <w:szCs w:val="16"/>
        </w:rPr>
        <w:t xml:space="preserve"> </w:t>
      </w:r>
      <w:proofErr w:type="spellStart"/>
      <w:r>
        <w:rPr>
          <w:rStyle w:val="normaltextrun"/>
          <w:rFonts w:ascii="Cambria" w:hAnsi="Cambria"/>
          <w:sz w:val="16"/>
          <w:szCs w:val="16"/>
        </w:rPr>
        <w:t>Diagnos</w:t>
      </w:r>
      <w:proofErr w:type="spellEnd"/>
      <w:r>
        <w:rPr>
          <w:rStyle w:val="normaltextrun"/>
          <w:rFonts w:ascii="Cambria" w:hAnsi="Cambria"/>
          <w:sz w:val="16"/>
          <w:szCs w:val="16"/>
        </w:rPr>
        <w:t>.</w:t>
      </w:r>
      <w:r>
        <w:rPr>
          <w:rStyle w:val="normaltextrun"/>
          <w:rFonts w:ascii="Cambria" w:hAnsi="Cambria"/>
          <w:sz w:val="16"/>
          <w:szCs w:val="16"/>
          <w:u w:val="single"/>
        </w:rPr>
        <w:t xml:space="preserve"> 2022;662-685.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1732AC5B" w14:textId="48451374" w:rsidR="00AA0B28" w:rsidRDefault="00AA0B28"/>
    <w:sectPr w:rsidR="00AA0B28" w:rsidSect="008F1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4DD8" w14:textId="77777777" w:rsidR="00D016FC" w:rsidRDefault="00D016FC" w:rsidP="008F13A7">
      <w:pPr>
        <w:spacing w:after="0" w:line="240" w:lineRule="auto"/>
      </w:pPr>
      <w:r>
        <w:separator/>
      </w:r>
    </w:p>
  </w:endnote>
  <w:endnote w:type="continuationSeparator" w:id="0">
    <w:p w14:paraId="636D459C" w14:textId="77777777" w:rsidR="00D016FC" w:rsidRDefault="00D016FC" w:rsidP="008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5D01" w14:textId="77777777" w:rsidR="00E24266" w:rsidRDefault="00E2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37CF" w14:textId="46230E80" w:rsidR="00E24266" w:rsidRPr="008F13A7" w:rsidRDefault="00E24266">
    <w:pPr>
      <w:pStyle w:val="Footer"/>
      <w:rPr>
        <w:color w:val="767171" w:themeColor="background2" w:themeShade="80"/>
      </w:rPr>
    </w:pPr>
    <w:r w:rsidRPr="008F13A7"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  <w:t>EMB-MAT-026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16A6" w14:textId="77777777" w:rsidR="00E24266" w:rsidRDefault="00E2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2FA1" w14:textId="77777777" w:rsidR="00D016FC" w:rsidRDefault="00D016FC" w:rsidP="008F13A7">
      <w:pPr>
        <w:spacing w:after="0" w:line="240" w:lineRule="auto"/>
      </w:pPr>
      <w:r>
        <w:separator/>
      </w:r>
    </w:p>
  </w:footnote>
  <w:footnote w:type="continuationSeparator" w:id="0">
    <w:p w14:paraId="78BA7CAA" w14:textId="77777777" w:rsidR="00D016FC" w:rsidRDefault="00D016FC" w:rsidP="008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07D" w14:textId="77777777" w:rsidR="00E24266" w:rsidRDefault="00E2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66BF" w14:textId="77777777" w:rsidR="00E24266" w:rsidRDefault="00E24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67B" w14:textId="77777777" w:rsidR="00E24266" w:rsidRDefault="00E2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FD7"/>
    <w:multiLevelType w:val="multilevel"/>
    <w:tmpl w:val="56A691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6159"/>
    <w:multiLevelType w:val="multilevel"/>
    <w:tmpl w:val="A16E8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31FB"/>
    <w:multiLevelType w:val="multilevel"/>
    <w:tmpl w:val="6A6E8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15692"/>
    <w:multiLevelType w:val="hybridMultilevel"/>
    <w:tmpl w:val="E484569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91E1B"/>
    <w:multiLevelType w:val="multilevel"/>
    <w:tmpl w:val="3F74D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C443F"/>
    <w:multiLevelType w:val="multilevel"/>
    <w:tmpl w:val="EFC8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57D2E"/>
    <w:multiLevelType w:val="multilevel"/>
    <w:tmpl w:val="243EB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377F5"/>
    <w:multiLevelType w:val="multilevel"/>
    <w:tmpl w:val="632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89449C"/>
    <w:multiLevelType w:val="multilevel"/>
    <w:tmpl w:val="9B242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3312E"/>
    <w:multiLevelType w:val="multilevel"/>
    <w:tmpl w:val="D2521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FF5C78"/>
    <w:multiLevelType w:val="multilevel"/>
    <w:tmpl w:val="67966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C6612"/>
    <w:multiLevelType w:val="multilevel"/>
    <w:tmpl w:val="2FC6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3A6074"/>
    <w:multiLevelType w:val="multilevel"/>
    <w:tmpl w:val="08B2F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A75240"/>
    <w:multiLevelType w:val="multilevel"/>
    <w:tmpl w:val="356CD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D515E4"/>
    <w:multiLevelType w:val="multilevel"/>
    <w:tmpl w:val="FDB2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3C0807"/>
    <w:multiLevelType w:val="multilevel"/>
    <w:tmpl w:val="4F3E82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4B5F80"/>
    <w:multiLevelType w:val="multilevel"/>
    <w:tmpl w:val="16808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752C51"/>
    <w:multiLevelType w:val="hybridMultilevel"/>
    <w:tmpl w:val="D57A372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141F0"/>
    <w:multiLevelType w:val="multilevel"/>
    <w:tmpl w:val="96F0E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467111"/>
    <w:multiLevelType w:val="multilevel"/>
    <w:tmpl w:val="E2880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225B1C"/>
    <w:multiLevelType w:val="multilevel"/>
    <w:tmpl w:val="06CE7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660B22"/>
    <w:multiLevelType w:val="multilevel"/>
    <w:tmpl w:val="81F2AB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B492F4C"/>
    <w:multiLevelType w:val="multilevel"/>
    <w:tmpl w:val="5CE65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805092"/>
    <w:multiLevelType w:val="hybridMultilevel"/>
    <w:tmpl w:val="7C10FFF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C63875"/>
    <w:multiLevelType w:val="multilevel"/>
    <w:tmpl w:val="33BC3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428DA"/>
    <w:multiLevelType w:val="multilevel"/>
    <w:tmpl w:val="EA8A5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B44BA9"/>
    <w:multiLevelType w:val="multilevel"/>
    <w:tmpl w:val="AE9C1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DC4BDA"/>
    <w:multiLevelType w:val="multilevel"/>
    <w:tmpl w:val="460C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1F51C4"/>
    <w:multiLevelType w:val="multilevel"/>
    <w:tmpl w:val="17D6B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255958"/>
    <w:multiLevelType w:val="multilevel"/>
    <w:tmpl w:val="8ECC9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6D41EF"/>
    <w:multiLevelType w:val="multilevel"/>
    <w:tmpl w:val="77183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FC73CD"/>
    <w:multiLevelType w:val="multilevel"/>
    <w:tmpl w:val="A2DAF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765294"/>
    <w:multiLevelType w:val="multilevel"/>
    <w:tmpl w:val="778A4E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3DD3889"/>
    <w:multiLevelType w:val="multilevel"/>
    <w:tmpl w:val="3E281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955B6F"/>
    <w:multiLevelType w:val="hybridMultilevel"/>
    <w:tmpl w:val="00A2AE5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559EF"/>
    <w:multiLevelType w:val="multilevel"/>
    <w:tmpl w:val="F0AC8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7C7402"/>
    <w:multiLevelType w:val="multilevel"/>
    <w:tmpl w:val="7A4C4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DB53BA"/>
    <w:multiLevelType w:val="multilevel"/>
    <w:tmpl w:val="90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982A01"/>
    <w:multiLevelType w:val="multilevel"/>
    <w:tmpl w:val="2F4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8A06945"/>
    <w:multiLevelType w:val="multilevel"/>
    <w:tmpl w:val="7326E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92264E"/>
    <w:multiLevelType w:val="multilevel"/>
    <w:tmpl w:val="68B0B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4B5B69"/>
    <w:multiLevelType w:val="multilevel"/>
    <w:tmpl w:val="044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221957"/>
    <w:multiLevelType w:val="multilevel"/>
    <w:tmpl w:val="A804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BCC0532"/>
    <w:multiLevelType w:val="hybridMultilevel"/>
    <w:tmpl w:val="DCDEAF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CA22AC5"/>
    <w:multiLevelType w:val="multilevel"/>
    <w:tmpl w:val="FB14C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CC30AB2"/>
    <w:multiLevelType w:val="hybridMultilevel"/>
    <w:tmpl w:val="161A4A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D1C6C10"/>
    <w:multiLevelType w:val="hybridMultilevel"/>
    <w:tmpl w:val="CA466CA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1719AD"/>
    <w:multiLevelType w:val="hybridMultilevel"/>
    <w:tmpl w:val="D2B6383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205F9A"/>
    <w:multiLevelType w:val="multilevel"/>
    <w:tmpl w:val="AEF2F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FA536CA"/>
    <w:multiLevelType w:val="hybridMultilevel"/>
    <w:tmpl w:val="32C044D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591667"/>
    <w:multiLevelType w:val="multilevel"/>
    <w:tmpl w:val="56B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166BD8"/>
    <w:multiLevelType w:val="multilevel"/>
    <w:tmpl w:val="F8E29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2683A73"/>
    <w:multiLevelType w:val="multilevel"/>
    <w:tmpl w:val="06C052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2BA69B3"/>
    <w:multiLevelType w:val="multilevel"/>
    <w:tmpl w:val="821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E52F04"/>
    <w:multiLevelType w:val="multilevel"/>
    <w:tmpl w:val="BE3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A8087E"/>
    <w:multiLevelType w:val="multilevel"/>
    <w:tmpl w:val="DE481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02E24"/>
    <w:multiLevelType w:val="multilevel"/>
    <w:tmpl w:val="CF20A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60D0C80"/>
    <w:multiLevelType w:val="multilevel"/>
    <w:tmpl w:val="7EA85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7A4729"/>
    <w:multiLevelType w:val="multilevel"/>
    <w:tmpl w:val="6C9C2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E97F3D"/>
    <w:multiLevelType w:val="hybridMultilevel"/>
    <w:tmpl w:val="461E681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1055DE"/>
    <w:multiLevelType w:val="multilevel"/>
    <w:tmpl w:val="C3F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793F83"/>
    <w:multiLevelType w:val="multilevel"/>
    <w:tmpl w:val="8940F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B956FD"/>
    <w:multiLevelType w:val="hybridMultilevel"/>
    <w:tmpl w:val="05B0757C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D05DF1"/>
    <w:multiLevelType w:val="multilevel"/>
    <w:tmpl w:val="7B4A5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F26F33"/>
    <w:multiLevelType w:val="multilevel"/>
    <w:tmpl w:val="97DC5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F9605F"/>
    <w:multiLevelType w:val="multilevel"/>
    <w:tmpl w:val="C9B26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067426"/>
    <w:multiLevelType w:val="multilevel"/>
    <w:tmpl w:val="3BAEE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541959"/>
    <w:multiLevelType w:val="multilevel"/>
    <w:tmpl w:val="533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A5E2260"/>
    <w:multiLevelType w:val="multilevel"/>
    <w:tmpl w:val="DBD28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54076"/>
    <w:multiLevelType w:val="hybridMultilevel"/>
    <w:tmpl w:val="5E58B6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5C0AA3"/>
    <w:multiLevelType w:val="multilevel"/>
    <w:tmpl w:val="7A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D513736"/>
    <w:multiLevelType w:val="multilevel"/>
    <w:tmpl w:val="B17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E0245D6"/>
    <w:multiLevelType w:val="multilevel"/>
    <w:tmpl w:val="AB6A8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E1059D2"/>
    <w:multiLevelType w:val="multilevel"/>
    <w:tmpl w:val="298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ED72C6"/>
    <w:multiLevelType w:val="multilevel"/>
    <w:tmpl w:val="E8C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F047186"/>
    <w:multiLevelType w:val="multilevel"/>
    <w:tmpl w:val="017AD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F4356AC"/>
    <w:multiLevelType w:val="multilevel"/>
    <w:tmpl w:val="ADF8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FA809D4"/>
    <w:multiLevelType w:val="multilevel"/>
    <w:tmpl w:val="71FEA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450F6E"/>
    <w:multiLevelType w:val="hybridMultilevel"/>
    <w:tmpl w:val="3C00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75310E"/>
    <w:multiLevelType w:val="multilevel"/>
    <w:tmpl w:val="57E4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210415"/>
    <w:multiLevelType w:val="hybridMultilevel"/>
    <w:tmpl w:val="958200E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41376B"/>
    <w:multiLevelType w:val="multilevel"/>
    <w:tmpl w:val="7BC6E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14316BD"/>
    <w:multiLevelType w:val="hybridMultilevel"/>
    <w:tmpl w:val="FAE2370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4F5218"/>
    <w:multiLevelType w:val="multilevel"/>
    <w:tmpl w:val="4A0A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1E1371E"/>
    <w:multiLevelType w:val="multilevel"/>
    <w:tmpl w:val="7F428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204766F"/>
    <w:multiLevelType w:val="hybridMultilevel"/>
    <w:tmpl w:val="99B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29374D9"/>
    <w:multiLevelType w:val="multilevel"/>
    <w:tmpl w:val="13D65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29C4EF6"/>
    <w:multiLevelType w:val="multilevel"/>
    <w:tmpl w:val="DE9E0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2AA5FCA"/>
    <w:multiLevelType w:val="multilevel"/>
    <w:tmpl w:val="086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31A30A8"/>
    <w:multiLevelType w:val="hybridMultilevel"/>
    <w:tmpl w:val="C15A4A7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E937E0"/>
    <w:multiLevelType w:val="multilevel"/>
    <w:tmpl w:val="A09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5832239"/>
    <w:multiLevelType w:val="hybridMultilevel"/>
    <w:tmpl w:val="354E541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495A0B"/>
    <w:multiLevelType w:val="multilevel"/>
    <w:tmpl w:val="29EEF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6714CC1"/>
    <w:multiLevelType w:val="multilevel"/>
    <w:tmpl w:val="922C1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A34AE1"/>
    <w:multiLevelType w:val="hybridMultilevel"/>
    <w:tmpl w:val="9FA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217F47"/>
    <w:multiLevelType w:val="multilevel"/>
    <w:tmpl w:val="41387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7A2AFB"/>
    <w:multiLevelType w:val="multilevel"/>
    <w:tmpl w:val="177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E84A73"/>
    <w:multiLevelType w:val="multilevel"/>
    <w:tmpl w:val="B5F8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D0179"/>
    <w:multiLevelType w:val="multilevel"/>
    <w:tmpl w:val="5DD4F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D537E3"/>
    <w:multiLevelType w:val="multilevel"/>
    <w:tmpl w:val="A1E66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0A3620"/>
    <w:multiLevelType w:val="multilevel"/>
    <w:tmpl w:val="727A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B0B4ED6"/>
    <w:multiLevelType w:val="multilevel"/>
    <w:tmpl w:val="36663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B600BCE"/>
    <w:multiLevelType w:val="hybridMultilevel"/>
    <w:tmpl w:val="0490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6C4D53"/>
    <w:multiLevelType w:val="multilevel"/>
    <w:tmpl w:val="77DA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C0707BF"/>
    <w:multiLevelType w:val="multilevel"/>
    <w:tmpl w:val="BAA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C5434CE"/>
    <w:multiLevelType w:val="multilevel"/>
    <w:tmpl w:val="0C54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C874ACA"/>
    <w:multiLevelType w:val="multilevel"/>
    <w:tmpl w:val="ED6CE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F1A03F8"/>
    <w:multiLevelType w:val="multilevel"/>
    <w:tmpl w:val="EA44D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32B1C13"/>
    <w:multiLevelType w:val="multilevel"/>
    <w:tmpl w:val="87FE9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42A4B98"/>
    <w:multiLevelType w:val="hybridMultilevel"/>
    <w:tmpl w:val="883262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D61A35"/>
    <w:multiLevelType w:val="multilevel"/>
    <w:tmpl w:val="55F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5243E56"/>
    <w:multiLevelType w:val="multilevel"/>
    <w:tmpl w:val="45369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59063DB"/>
    <w:multiLevelType w:val="hybridMultilevel"/>
    <w:tmpl w:val="4BB0F0F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433065"/>
    <w:multiLevelType w:val="multilevel"/>
    <w:tmpl w:val="BC56A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6C81B19"/>
    <w:multiLevelType w:val="multilevel"/>
    <w:tmpl w:val="6D54A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500E14"/>
    <w:multiLevelType w:val="multilevel"/>
    <w:tmpl w:val="99D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9D18BE"/>
    <w:multiLevelType w:val="multilevel"/>
    <w:tmpl w:val="B9B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7B6539D"/>
    <w:multiLevelType w:val="multilevel"/>
    <w:tmpl w:val="D6EE2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8633972"/>
    <w:multiLevelType w:val="hybridMultilevel"/>
    <w:tmpl w:val="FD2AFBB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89E1668"/>
    <w:multiLevelType w:val="hybridMultilevel"/>
    <w:tmpl w:val="B372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90C0A52"/>
    <w:multiLevelType w:val="hybridMultilevel"/>
    <w:tmpl w:val="25128AC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7B0A10"/>
    <w:multiLevelType w:val="multilevel"/>
    <w:tmpl w:val="53AEA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AA31BF0"/>
    <w:multiLevelType w:val="multilevel"/>
    <w:tmpl w:val="1AB8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4B2509DC"/>
    <w:multiLevelType w:val="multilevel"/>
    <w:tmpl w:val="F14C73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BD2737B"/>
    <w:multiLevelType w:val="hybridMultilevel"/>
    <w:tmpl w:val="0826D65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256294"/>
    <w:multiLevelType w:val="hybridMultilevel"/>
    <w:tmpl w:val="050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CDB26FB"/>
    <w:multiLevelType w:val="multilevel"/>
    <w:tmpl w:val="55EC8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D0E4C76"/>
    <w:multiLevelType w:val="multilevel"/>
    <w:tmpl w:val="34225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E5D003B"/>
    <w:multiLevelType w:val="multilevel"/>
    <w:tmpl w:val="080E7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EEE3666"/>
    <w:multiLevelType w:val="hybridMultilevel"/>
    <w:tmpl w:val="36B8B97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976A68"/>
    <w:multiLevelType w:val="multilevel"/>
    <w:tmpl w:val="B886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0B27043"/>
    <w:multiLevelType w:val="multilevel"/>
    <w:tmpl w:val="290E5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15F6A60"/>
    <w:multiLevelType w:val="multilevel"/>
    <w:tmpl w:val="6E4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1D06854"/>
    <w:multiLevelType w:val="multilevel"/>
    <w:tmpl w:val="5F768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21537C8"/>
    <w:multiLevelType w:val="multilevel"/>
    <w:tmpl w:val="71F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3CC0DE0"/>
    <w:multiLevelType w:val="multilevel"/>
    <w:tmpl w:val="D5DCD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4BE3C09"/>
    <w:multiLevelType w:val="multilevel"/>
    <w:tmpl w:val="D0887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5AC6428"/>
    <w:multiLevelType w:val="multilevel"/>
    <w:tmpl w:val="38A22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69D1A49"/>
    <w:multiLevelType w:val="hybridMultilevel"/>
    <w:tmpl w:val="1BCA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360B1B"/>
    <w:multiLevelType w:val="multilevel"/>
    <w:tmpl w:val="653C1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A8558DE"/>
    <w:multiLevelType w:val="multilevel"/>
    <w:tmpl w:val="020E3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AB4760A"/>
    <w:multiLevelType w:val="multilevel"/>
    <w:tmpl w:val="429A5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1341E2"/>
    <w:multiLevelType w:val="multilevel"/>
    <w:tmpl w:val="7B6A1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C2D7420"/>
    <w:multiLevelType w:val="multilevel"/>
    <w:tmpl w:val="A796D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C8060D4"/>
    <w:multiLevelType w:val="multilevel"/>
    <w:tmpl w:val="BD982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D096215"/>
    <w:multiLevelType w:val="multilevel"/>
    <w:tmpl w:val="02C81AF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5D9B49FB"/>
    <w:multiLevelType w:val="hybridMultilevel"/>
    <w:tmpl w:val="F3386DF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E0A7FD9"/>
    <w:multiLevelType w:val="multilevel"/>
    <w:tmpl w:val="DD00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E8905B9"/>
    <w:multiLevelType w:val="multilevel"/>
    <w:tmpl w:val="4EC4437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5F6C0D41"/>
    <w:multiLevelType w:val="multilevel"/>
    <w:tmpl w:val="6310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FE4055B"/>
    <w:multiLevelType w:val="multilevel"/>
    <w:tmpl w:val="69BCE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0C541DA"/>
    <w:multiLevelType w:val="multilevel"/>
    <w:tmpl w:val="F9D63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14A19B4"/>
    <w:multiLevelType w:val="multilevel"/>
    <w:tmpl w:val="8012A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1A70565"/>
    <w:multiLevelType w:val="multilevel"/>
    <w:tmpl w:val="3E3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32113E"/>
    <w:multiLevelType w:val="multilevel"/>
    <w:tmpl w:val="75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AC136B7"/>
    <w:multiLevelType w:val="multilevel"/>
    <w:tmpl w:val="A9A49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AF33AF9"/>
    <w:multiLevelType w:val="multilevel"/>
    <w:tmpl w:val="552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C610F05"/>
    <w:multiLevelType w:val="hybridMultilevel"/>
    <w:tmpl w:val="BDA633E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00704E"/>
    <w:multiLevelType w:val="multilevel"/>
    <w:tmpl w:val="51D02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D313A11"/>
    <w:multiLevelType w:val="multilevel"/>
    <w:tmpl w:val="A132A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783319"/>
    <w:multiLevelType w:val="multilevel"/>
    <w:tmpl w:val="008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E8B1BF6"/>
    <w:multiLevelType w:val="multilevel"/>
    <w:tmpl w:val="E6D40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EF508E4"/>
    <w:multiLevelType w:val="multilevel"/>
    <w:tmpl w:val="82C2E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2E1931"/>
    <w:multiLevelType w:val="hybridMultilevel"/>
    <w:tmpl w:val="4F3C3C5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FC2606"/>
    <w:multiLevelType w:val="hybridMultilevel"/>
    <w:tmpl w:val="C732546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2322984"/>
    <w:multiLevelType w:val="multilevel"/>
    <w:tmpl w:val="DDFE1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23B14F6"/>
    <w:multiLevelType w:val="multilevel"/>
    <w:tmpl w:val="8DBCD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26258D0"/>
    <w:multiLevelType w:val="multilevel"/>
    <w:tmpl w:val="EACA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26435EF"/>
    <w:multiLevelType w:val="multilevel"/>
    <w:tmpl w:val="95101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35C521F"/>
    <w:multiLevelType w:val="multilevel"/>
    <w:tmpl w:val="4B6E4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3FD0A7F"/>
    <w:multiLevelType w:val="multilevel"/>
    <w:tmpl w:val="C874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4A93573"/>
    <w:multiLevelType w:val="hybridMultilevel"/>
    <w:tmpl w:val="7194D9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EF1E20"/>
    <w:multiLevelType w:val="multilevel"/>
    <w:tmpl w:val="BBB0F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6C3756C"/>
    <w:multiLevelType w:val="multilevel"/>
    <w:tmpl w:val="E00A5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1D6BE8"/>
    <w:multiLevelType w:val="multilevel"/>
    <w:tmpl w:val="0712A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7ED0587"/>
    <w:multiLevelType w:val="multilevel"/>
    <w:tmpl w:val="6BB47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974491"/>
    <w:multiLevelType w:val="hybridMultilevel"/>
    <w:tmpl w:val="4000C37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AA96D80"/>
    <w:multiLevelType w:val="multilevel"/>
    <w:tmpl w:val="0A06E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AD1F03"/>
    <w:multiLevelType w:val="multilevel"/>
    <w:tmpl w:val="C450A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2A434E"/>
    <w:multiLevelType w:val="multilevel"/>
    <w:tmpl w:val="A050A6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8D7154"/>
    <w:multiLevelType w:val="multilevel"/>
    <w:tmpl w:val="F6AE274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D4056C5"/>
    <w:multiLevelType w:val="multilevel"/>
    <w:tmpl w:val="0060C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44630A"/>
    <w:multiLevelType w:val="multilevel"/>
    <w:tmpl w:val="A8D2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5C18C7"/>
    <w:multiLevelType w:val="hybridMultilevel"/>
    <w:tmpl w:val="6210771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DF02B52"/>
    <w:multiLevelType w:val="multilevel"/>
    <w:tmpl w:val="5D4EC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DF735C7"/>
    <w:multiLevelType w:val="multilevel"/>
    <w:tmpl w:val="8EFE5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262434">
    <w:abstractNumId w:val="70"/>
  </w:num>
  <w:num w:numId="2" w16cid:durableId="1625623683">
    <w:abstractNumId w:val="156"/>
  </w:num>
  <w:num w:numId="3" w16cid:durableId="67969138">
    <w:abstractNumId w:val="9"/>
  </w:num>
  <w:num w:numId="4" w16cid:durableId="905645628">
    <w:abstractNumId w:val="172"/>
  </w:num>
  <w:num w:numId="5" w16cid:durableId="1180584686">
    <w:abstractNumId w:val="25"/>
  </w:num>
  <w:num w:numId="6" w16cid:durableId="923954292">
    <w:abstractNumId w:val="178"/>
  </w:num>
  <w:num w:numId="7" w16cid:durableId="808089753">
    <w:abstractNumId w:val="30"/>
  </w:num>
  <w:num w:numId="8" w16cid:durableId="74134761">
    <w:abstractNumId w:val="159"/>
  </w:num>
  <w:num w:numId="9" w16cid:durableId="1985619078">
    <w:abstractNumId w:val="130"/>
  </w:num>
  <w:num w:numId="10" w16cid:durableId="663777230">
    <w:abstractNumId w:val="65"/>
  </w:num>
  <w:num w:numId="11" w16cid:durableId="839081605">
    <w:abstractNumId w:val="86"/>
  </w:num>
  <w:num w:numId="12" w16cid:durableId="1570534832">
    <w:abstractNumId w:val="126"/>
  </w:num>
  <w:num w:numId="13" w16cid:durableId="1444303865">
    <w:abstractNumId w:val="107"/>
  </w:num>
  <w:num w:numId="14" w16cid:durableId="2112124577">
    <w:abstractNumId w:val="10"/>
  </w:num>
  <w:num w:numId="15" w16cid:durableId="1355693820">
    <w:abstractNumId w:val="20"/>
  </w:num>
  <w:num w:numId="16" w16cid:durableId="1761098574">
    <w:abstractNumId w:val="150"/>
  </w:num>
  <w:num w:numId="17" w16cid:durableId="968441946">
    <w:abstractNumId w:val="68"/>
  </w:num>
  <w:num w:numId="18" w16cid:durableId="1882669837">
    <w:abstractNumId w:val="7"/>
  </w:num>
  <w:num w:numId="19" w16cid:durableId="1696465062">
    <w:abstractNumId w:val="75"/>
  </w:num>
  <w:num w:numId="20" w16cid:durableId="378868645">
    <w:abstractNumId w:val="81"/>
  </w:num>
  <w:num w:numId="21" w16cid:durableId="1233276484">
    <w:abstractNumId w:val="83"/>
  </w:num>
  <w:num w:numId="22" w16cid:durableId="749080059">
    <w:abstractNumId w:val="173"/>
  </w:num>
  <w:num w:numId="23" w16cid:durableId="499547174">
    <w:abstractNumId w:val="143"/>
  </w:num>
  <w:num w:numId="24" w16cid:durableId="803474214">
    <w:abstractNumId w:val="27"/>
  </w:num>
  <w:num w:numId="25" w16cid:durableId="1472212847">
    <w:abstractNumId w:val="67"/>
  </w:num>
  <w:num w:numId="26" w16cid:durableId="269048039">
    <w:abstractNumId w:val="154"/>
  </w:num>
  <w:num w:numId="27" w16cid:durableId="254899671">
    <w:abstractNumId w:val="88"/>
  </w:num>
  <w:num w:numId="28" w16cid:durableId="1201820065">
    <w:abstractNumId w:val="122"/>
  </w:num>
  <w:num w:numId="29" w16cid:durableId="813378121">
    <w:abstractNumId w:val="11"/>
  </w:num>
  <w:num w:numId="30" w16cid:durableId="1479493251">
    <w:abstractNumId w:val="54"/>
  </w:num>
  <w:num w:numId="31" w16cid:durableId="1196189619">
    <w:abstractNumId w:val="14"/>
  </w:num>
  <w:num w:numId="32" w16cid:durableId="2049646661">
    <w:abstractNumId w:val="77"/>
  </w:num>
  <w:num w:numId="33" w16cid:durableId="627664662">
    <w:abstractNumId w:val="92"/>
  </w:num>
  <w:num w:numId="34" w16cid:durableId="1874077515">
    <w:abstractNumId w:val="177"/>
  </w:num>
  <w:num w:numId="35" w16cid:durableId="403724580">
    <w:abstractNumId w:val="153"/>
  </w:num>
  <w:num w:numId="36" w16cid:durableId="688029501">
    <w:abstractNumId w:val="19"/>
  </w:num>
  <w:num w:numId="37" w16cid:durableId="1987389954">
    <w:abstractNumId w:val="31"/>
  </w:num>
  <w:num w:numId="38" w16cid:durableId="178088615">
    <w:abstractNumId w:val="101"/>
  </w:num>
  <w:num w:numId="39" w16cid:durableId="271398173">
    <w:abstractNumId w:val="170"/>
  </w:num>
  <w:num w:numId="40" w16cid:durableId="110243107">
    <w:abstractNumId w:val="185"/>
  </w:num>
  <w:num w:numId="41" w16cid:durableId="279604766">
    <w:abstractNumId w:val="37"/>
  </w:num>
  <w:num w:numId="42" w16cid:durableId="1126241078">
    <w:abstractNumId w:val="152"/>
  </w:num>
  <w:num w:numId="43" w16cid:durableId="95566869">
    <w:abstractNumId w:val="84"/>
  </w:num>
  <w:num w:numId="44" w16cid:durableId="1861116876">
    <w:abstractNumId w:val="55"/>
  </w:num>
  <w:num w:numId="45" w16cid:durableId="238056732">
    <w:abstractNumId w:val="169"/>
  </w:num>
  <w:num w:numId="46" w16cid:durableId="1308510109">
    <w:abstractNumId w:val="165"/>
  </w:num>
  <w:num w:numId="47" w16cid:durableId="218366340">
    <w:abstractNumId w:val="111"/>
  </w:num>
  <w:num w:numId="48" w16cid:durableId="515316845">
    <w:abstractNumId w:val="2"/>
  </w:num>
  <w:num w:numId="49" w16cid:durableId="1091589863">
    <w:abstractNumId w:val="73"/>
  </w:num>
  <w:num w:numId="50" w16cid:durableId="1532497492">
    <w:abstractNumId w:val="161"/>
  </w:num>
  <w:num w:numId="51" w16cid:durableId="883757763">
    <w:abstractNumId w:val="114"/>
  </w:num>
  <w:num w:numId="52" w16cid:durableId="853956152">
    <w:abstractNumId w:val="47"/>
  </w:num>
  <w:num w:numId="53" w16cid:durableId="1342582538">
    <w:abstractNumId w:val="149"/>
  </w:num>
  <w:num w:numId="54" w16cid:durableId="830800304">
    <w:abstractNumId w:val="94"/>
  </w:num>
  <w:num w:numId="55" w16cid:durableId="130942854">
    <w:abstractNumId w:val="138"/>
  </w:num>
  <w:num w:numId="56" w16cid:durableId="393621190">
    <w:abstractNumId w:val="118"/>
  </w:num>
  <w:num w:numId="57" w16cid:durableId="2046756274">
    <w:abstractNumId w:val="78"/>
  </w:num>
  <w:num w:numId="58" w16cid:durableId="1897011586">
    <w:abstractNumId w:val="82"/>
  </w:num>
  <w:num w:numId="59" w16cid:durableId="1102144826">
    <w:abstractNumId w:val="69"/>
  </w:num>
  <w:num w:numId="60" w16cid:durableId="1724524421">
    <w:abstractNumId w:val="46"/>
  </w:num>
  <w:num w:numId="61" w16cid:durableId="350765096">
    <w:abstractNumId w:val="135"/>
  </w:num>
  <w:num w:numId="62" w16cid:durableId="503009146">
    <w:abstractNumId w:val="113"/>
  </w:num>
  <w:num w:numId="63" w16cid:durableId="472524493">
    <w:abstractNumId w:val="56"/>
  </w:num>
  <w:num w:numId="64" w16cid:durableId="1181313698">
    <w:abstractNumId w:val="129"/>
  </w:num>
  <w:num w:numId="65" w16cid:durableId="304235826">
    <w:abstractNumId w:val="124"/>
  </w:num>
  <w:num w:numId="66" w16cid:durableId="1611625215">
    <w:abstractNumId w:val="119"/>
  </w:num>
  <w:num w:numId="67" w16cid:durableId="1584492327">
    <w:abstractNumId w:val="49"/>
  </w:num>
  <w:num w:numId="68" w16cid:durableId="940335416">
    <w:abstractNumId w:val="23"/>
  </w:num>
  <w:num w:numId="69" w16cid:durableId="1292370491">
    <w:abstractNumId w:val="164"/>
  </w:num>
  <w:num w:numId="70" w16cid:durableId="1669820493">
    <w:abstractNumId w:val="89"/>
  </w:num>
  <w:num w:numId="71" w16cid:durableId="255291870">
    <w:abstractNumId w:val="105"/>
  </w:num>
  <w:num w:numId="72" w16cid:durableId="1543322954">
    <w:abstractNumId w:val="61"/>
  </w:num>
  <w:num w:numId="73" w16cid:durableId="1118187383">
    <w:abstractNumId w:val="106"/>
  </w:num>
  <w:num w:numId="74" w16cid:durableId="1308167718">
    <w:abstractNumId w:val="4"/>
  </w:num>
  <w:num w:numId="75" w16cid:durableId="552927923">
    <w:abstractNumId w:val="48"/>
  </w:num>
  <w:num w:numId="76" w16cid:durableId="21366664">
    <w:abstractNumId w:val="13"/>
  </w:num>
  <w:num w:numId="77" w16cid:durableId="409891339">
    <w:abstractNumId w:val="32"/>
  </w:num>
  <w:num w:numId="78" w16cid:durableId="827282172">
    <w:abstractNumId w:val="80"/>
  </w:num>
  <w:num w:numId="79" w16cid:durableId="1484739655">
    <w:abstractNumId w:val="167"/>
  </w:num>
  <w:num w:numId="80" w16cid:durableId="1756127828">
    <w:abstractNumId w:val="24"/>
  </w:num>
  <w:num w:numId="81" w16cid:durableId="1805735768">
    <w:abstractNumId w:val="26"/>
  </w:num>
  <w:num w:numId="82" w16cid:durableId="254048757">
    <w:abstractNumId w:val="28"/>
  </w:num>
  <w:num w:numId="83" w16cid:durableId="2074815218">
    <w:abstractNumId w:val="51"/>
  </w:num>
  <w:num w:numId="84" w16cid:durableId="450247905">
    <w:abstractNumId w:val="175"/>
  </w:num>
  <w:num w:numId="85" w16cid:durableId="963846217">
    <w:abstractNumId w:val="40"/>
  </w:num>
  <w:num w:numId="86" w16cid:durableId="449936901">
    <w:abstractNumId w:val="128"/>
  </w:num>
  <w:num w:numId="87" w16cid:durableId="124665146">
    <w:abstractNumId w:val="139"/>
  </w:num>
  <w:num w:numId="88" w16cid:durableId="691489412">
    <w:abstractNumId w:val="98"/>
  </w:num>
  <w:num w:numId="89" w16cid:durableId="1120801743">
    <w:abstractNumId w:val="42"/>
  </w:num>
  <w:num w:numId="90" w16cid:durableId="543444326">
    <w:abstractNumId w:val="15"/>
  </w:num>
  <w:num w:numId="91" w16cid:durableId="81221038">
    <w:abstractNumId w:val="179"/>
  </w:num>
  <w:num w:numId="92" w16cid:durableId="967668177">
    <w:abstractNumId w:val="123"/>
  </w:num>
  <w:num w:numId="93" w16cid:durableId="1921791674">
    <w:abstractNumId w:val="176"/>
  </w:num>
  <w:num w:numId="94" w16cid:durableId="688529734">
    <w:abstractNumId w:val="59"/>
  </w:num>
  <w:num w:numId="95" w16cid:durableId="1479961027">
    <w:abstractNumId w:val="53"/>
  </w:num>
  <w:num w:numId="96" w16cid:durableId="2061588025">
    <w:abstractNumId w:val="18"/>
  </w:num>
  <w:num w:numId="97" w16cid:durableId="1747529102">
    <w:abstractNumId w:val="151"/>
  </w:num>
  <w:num w:numId="98" w16cid:durableId="971709540">
    <w:abstractNumId w:val="87"/>
  </w:num>
  <w:num w:numId="99" w16cid:durableId="7297879">
    <w:abstractNumId w:val="16"/>
  </w:num>
  <w:num w:numId="100" w16cid:durableId="1942954341">
    <w:abstractNumId w:val="181"/>
  </w:num>
  <w:num w:numId="101" w16cid:durableId="888565660">
    <w:abstractNumId w:val="21"/>
  </w:num>
  <w:num w:numId="102" w16cid:durableId="1002972771">
    <w:abstractNumId w:val="62"/>
  </w:num>
  <w:num w:numId="103" w16cid:durableId="1487864786">
    <w:abstractNumId w:val="100"/>
  </w:num>
  <w:num w:numId="104" w16cid:durableId="2131125012">
    <w:abstractNumId w:val="133"/>
  </w:num>
  <w:num w:numId="105" w16cid:durableId="1830705256">
    <w:abstractNumId w:val="136"/>
  </w:num>
  <w:num w:numId="106" w16cid:durableId="985356581">
    <w:abstractNumId w:val="158"/>
  </w:num>
  <w:num w:numId="107" w16cid:durableId="541989669">
    <w:abstractNumId w:val="174"/>
  </w:num>
  <w:num w:numId="108" w16cid:durableId="1664435206">
    <w:abstractNumId w:val="103"/>
  </w:num>
  <w:num w:numId="109" w16cid:durableId="888497333">
    <w:abstractNumId w:val="166"/>
  </w:num>
  <w:num w:numId="110" w16cid:durableId="866648633">
    <w:abstractNumId w:val="109"/>
  </w:num>
  <w:num w:numId="111" w16cid:durableId="468130225">
    <w:abstractNumId w:val="3"/>
  </w:num>
  <w:num w:numId="112" w16cid:durableId="1655643664">
    <w:abstractNumId w:val="90"/>
  </w:num>
  <w:num w:numId="113" w16cid:durableId="747919230">
    <w:abstractNumId w:val="44"/>
  </w:num>
  <w:num w:numId="114" w16cid:durableId="1344816573">
    <w:abstractNumId w:val="5"/>
  </w:num>
  <w:num w:numId="115" w16cid:durableId="355816842">
    <w:abstractNumId w:val="131"/>
  </w:num>
  <w:num w:numId="116" w16cid:durableId="1392921797">
    <w:abstractNumId w:val="79"/>
  </w:num>
  <w:num w:numId="117" w16cid:durableId="459230577">
    <w:abstractNumId w:val="36"/>
  </w:num>
  <w:num w:numId="118" w16cid:durableId="1820924727">
    <w:abstractNumId w:val="127"/>
  </w:num>
  <w:num w:numId="119" w16cid:durableId="2037924481">
    <w:abstractNumId w:val="117"/>
  </w:num>
  <w:num w:numId="120" w16cid:durableId="14768464">
    <w:abstractNumId w:val="0"/>
  </w:num>
  <w:num w:numId="121" w16cid:durableId="7800058">
    <w:abstractNumId w:val="17"/>
  </w:num>
  <w:num w:numId="122" w16cid:durableId="1186015813">
    <w:abstractNumId w:val="85"/>
  </w:num>
  <w:num w:numId="123" w16cid:durableId="90397701">
    <w:abstractNumId w:val="34"/>
  </w:num>
  <w:num w:numId="124" w16cid:durableId="1465587119">
    <w:abstractNumId w:val="116"/>
  </w:num>
  <w:num w:numId="125" w16cid:durableId="1379621762">
    <w:abstractNumId w:val="39"/>
  </w:num>
  <w:num w:numId="126" w16cid:durableId="2107185834">
    <w:abstractNumId w:val="66"/>
  </w:num>
  <w:num w:numId="127" w16cid:durableId="2107725209">
    <w:abstractNumId w:val="33"/>
  </w:num>
  <w:num w:numId="128" w16cid:durableId="476915639">
    <w:abstractNumId w:val="184"/>
  </w:num>
  <w:num w:numId="129" w16cid:durableId="31617271">
    <w:abstractNumId w:val="72"/>
  </w:num>
  <w:num w:numId="130" w16cid:durableId="575017153">
    <w:abstractNumId w:val="155"/>
  </w:num>
  <w:num w:numId="131" w16cid:durableId="508910630">
    <w:abstractNumId w:val="141"/>
  </w:num>
  <w:num w:numId="132" w16cid:durableId="1125122486">
    <w:abstractNumId w:val="58"/>
  </w:num>
  <w:num w:numId="133" w16cid:durableId="425078825">
    <w:abstractNumId w:val="148"/>
  </w:num>
  <w:num w:numId="134" w16cid:durableId="956984538">
    <w:abstractNumId w:val="145"/>
  </w:num>
  <w:num w:numId="135" w16cid:durableId="1421486202">
    <w:abstractNumId w:val="182"/>
  </w:num>
  <w:num w:numId="136" w16cid:durableId="1017318020">
    <w:abstractNumId w:val="110"/>
  </w:num>
  <w:num w:numId="137" w16cid:durableId="768619301">
    <w:abstractNumId w:val="1"/>
  </w:num>
  <w:num w:numId="138" w16cid:durableId="392042488">
    <w:abstractNumId w:val="12"/>
  </w:num>
  <w:num w:numId="139" w16cid:durableId="222377152">
    <w:abstractNumId w:val="22"/>
  </w:num>
  <w:num w:numId="140" w16cid:durableId="924387457">
    <w:abstractNumId w:val="64"/>
  </w:num>
  <w:num w:numId="141" w16cid:durableId="1638027826">
    <w:abstractNumId w:val="112"/>
  </w:num>
  <w:num w:numId="142" w16cid:durableId="1319765479">
    <w:abstractNumId w:val="91"/>
  </w:num>
  <w:num w:numId="143" w16cid:durableId="1110130690">
    <w:abstractNumId w:val="146"/>
  </w:num>
  <w:num w:numId="144" w16cid:durableId="1007824571">
    <w:abstractNumId w:val="60"/>
  </w:num>
  <w:num w:numId="145" w16cid:durableId="1140195559">
    <w:abstractNumId w:val="108"/>
  </w:num>
  <w:num w:numId="146" w16cid:durableId="548957049">
    <w:abstractNumId w:val="8"/>
  </w:num>
  <w:num w:numId="147" w16cid:durableId="1119958543">
    <w:abstractNumId w:val="93"/>
  </w:num>
  <w:num w:numId="148" w16cid:durableId="2052799448">
    <w:abstractNumId w:val="76"/>
  </w:num>
  <w:num w:numId="149" w16cid:durableId="322007267">
    <w:abstractNumId w:val="115"/>
  </w:num>
  <w:num w:numId="150" w16cid:durableId="431894977">
    <w:abstractNumId w:val="180"/>
  </w:num>
  <w:num w:numId="151" w16cid:durableId="393117058">
    <w:abstractNumId w:val="183"/>
  </w:num>
  <w:num w:numId="152" w16cid:durableId="591550716">
    <w:abstractNumId w:val="96"/>
  </w:num>
  <w:num w:numId="153" w16cid:durableId="2036080369">
    <w:abstractNumId w:val="97"/>
  </w:num>
  <w:num w:numId="154" w16cid:durableId="2098167301">
    <w:abstractNumId w:val="162"/>
  </w:num>
  <w:num w:numId="155" w16cid:durableId="1489790438">
    <w:abstractNumId w:val="95"/>
  </w:num>
  <w:num w:numId="156" w16cid:durableId="1654720562">
    <w:abstractNumId w:val="168"/>
  </w:num>
  <w:num w:numId="157" w16cid:durableId="1835223754">
    <w:abstractNumId w:val="137"/>
  </w:num>
  <w:num w:numId="158" w16cid:durableId="1746683766">
    <w:abstractNumId w:val="144"/>
  </w:num>
  <w:num w:numId="159" w16cid:durableId="1376270423">
    <w:abstractNumId w:val="52"/>
  </w:num>
  <w:num w:numId="160" w16cid:durableId="1770420145">
    <w:abstractNumId w:val="121"/>
  </w:num>
  <w:num w:numId="161" w16cid:durableId="1297954224">
    <w:abstractNumId w:val="171"/>
  </w:num>
  <w:num w:numId="162" w16cid:durableId="1328826842">
    <w:abstractNumId w:val="157"/>
  </w:num>
  <w:num w:numId="163" w16cid:durableId="319620955">
    <w:abstractNumId w:val="50"/>
  </w:num>
  <w:num w:numId="164" w16cid:durableId="1449398125">
    <w:abstractNumId w:val="99"/>
  </w:num>
  <w:num w:numId="165" w16cid:durableId="204098941">
    <w:abstractNumId w:val="57"/>
  </w:num>
  <w:num w:numId="166" w16cid:durableId="2118140696">
    <w:abstractNumId w:val="140"/>
  </w:num>
  <w:num w:numId="167" w16cid:durableId="306668370">
    <w:abstractNumId w:val="147"/>
  </w:num>
  <w:num w:numId="168" w16cid:durableId="565920841">
    <w:abstractNumId w:val="43"/>
  </w:num>
  <w:num w:numId="169" w16cid:durableId="1851487665">
    <w:abstractNumId w:val="125"/>
  </w:num>
  <w:num w:numId="170" w16cid:durableId="1192576000">
    <w:abstractNumId w:val="45"/>
  </w:num>
  <w:num w:numId="171" w16cid:durableId="263072849">
    <w:abstractNumId w:val="134"/>
  </w:num>
  <w:num w:numId="172" w16cid:durableId="617833107">
    <w:abstractNumId w:val="132"/>
  </w:num>
  <w:num w:numId="173" w16cid:durableId="1743675941">
    <w:abstractNumId w:val="160"/>
  </w:num>
  <w:num w:numId="174" w16cid:durableId="676735384">
    <w:abstractNumId w:val="38"/>
  </w:num>
  <w:num w:numId="175" w16cid:durableId="997264323">
    <w:abstractNumId w:val="74"/>
  </w:num>
  <w:num w:numId="176" w16cid:durableId="1545826170">
    <w:abstractNumId w:val="71"/>
  </w:num>
  <w:num w:numId="177" w16cid:durableId="1842235430">
    <w:abstractNumId w:val="104"/>
  </w:num>
  <w:num w:numId="178" w16cid:durableId="1860895496">
    <w:abstractNumId w:val="41"/>
  </w:num>
  <w:num w:numId="179" w16cid:durableId="1200780961">
    <w:abstractNumId w:val="29"/>
  </w:num>
  <w:num w:numId="180" w16cid:durableId="1592155227">
    <w:abstractNumId w:val="35"/>
  </w:num>
  <w:num w:numId="181" w16cid:durableId="1199508288">
    <w:abstractNumId w:val="6"/>
  </w:num>
  <w:num w:numId="182" w16cid:durableId="412510005">
    <w:abstractNumId w:val="142"/>
  </w:num>
  <w:num w:numId="183" w16cid:durableId="1471745201">
    <w:abstractNumId w:val="63"/>
  </w:num>
  <w:num w:numId="184" w16cid:durableId="227498482">
    <w:abstractNumId w:val="163"/>
  </w:num>
  <w:num w:numId="185" w16cid:durableId="104931383">
    <w:abstractNumId w:val="102"/>
  </w:num>
  <w:num w:numId="186" w16cid:durableId="1975714350">
    <w:abstractNumId w:val="12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F9"/>
    <w:rsid w:val="000B038D"/>
    <w:rsid w:val="001006ED"/>
    <w:rsid w:val="00185A7B"/>
    <w:rsid w:val="001B1C6C"/>
    <w:rsid w:val="00313242"/>
    <w:rsid w:val="0035611D"/>
    <w:rsid w:val="00392C96"/>
    <w:rsid w:val="0040627C"/>
    <w:rsid w:val="00523C7F"/>
    <w:rsid w:val="00532B38"/>
    <w:rsid w:val="00583141"/>
    <w:rsid w:val="005A0303"/>
    <w:rsid w:val="005A3D17"/>
    <w:rsid w:val="005C30C1"/>
    <w:rsid w:val="006374CC"/>
    <w:rsid w:val="006B06F9"/>
    <w:rsid w:val="006E49CA"/>
    <w:rsid w:val="006F6D17"/>
    <w:rsid w:val="00887A59"/>
    <w:rsid w:val="008F13A7"/>
    <w:rsid w:val="009F12F4"/>
    <w:rsid w:val="00A0698B"/>
    <w:rsid w:val="00A11C23"/>
    <w:rsid w:val="00AA0B28"/>
    <w:rsid w:val="00B3247B"/>
    <w:rsid w:val="00B343BB"/>
    <w:rsid w:val="00B564C4"/>
    <w:rsid w:val="00B706BB"/>
    <w:rsid w:val="00C10150"/>
    <w:rsid w:val="00C42927"/>
    <w:rsid w:val="00C47340"/>
    <w:rsid w:val="00C61FF8"/>
    <w:rsid w:val="00CA00D2"/>
    <w:rsid w:val="00CB4DE3"/>
    <w:rsid w:val="00CC0CC4"/>
    <w:rsid w:val="00CF7938"/>
    <w:rsid w:val="00D016FC"/>
    <w:rsid w:val="00D4303C"/>
    <w:rsid w:val="00D4414B"/>
    <w:rsid w:val="00D9364C"/>
    <w:rsid w:val="00DD2796"/>
    <w:rsid w:val="00DD449B"/>
    <w:rsid w:val="00DE2279"/>
    <w:rsid w:val="00DF188B"/>
    <w:rsid w:val="00DF6BA6"/>
    <w:rsid w:val="00E172AF"/>
    <w:rsid w:val="00E24266"/>
    <w:rsid w:val="00E60CA1"/>
    <w:rsid w:val="00F245C5"/>
    <w:rsid w:val="00F319E0"/>
    <w:rsid w:val="00F408DC"/>
    <w:rsid w:val="00F51C73"/>
    <w:rsid w:val="00FB4C5C"/>
    <w:rsid w:val="00FC06E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D75D"/>
  <w15:chartTrackingRefBased/>
  <w15:docId w15:val="{980B728A-003E-4FB5-BF0F-2173D23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A7"/>
  </w:style>
  <w:style w:type="paragraph" w:styleId="Footer">
    <w:name w:val="footer"/>
    <w:basedOn w:val="Normal"/>
    <w:link w:val="Foot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A7"/>
  </w:style>
  <w:style w:type="paragraph" w:customStyle="1" w:styleId="paragraph">
    <w:name w:val="paragraph"/>
    <w:basedOn w:val="Normal"/>
    <w:rsid w:val="00A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0B28"/>
  </w:style>
  <w:style w:type="character" w:customStyle="1" w:styleId="eop">
    <w:name w:val="eop"/>
    <w:basedOn w:val="DefaultParagraphFont"/>
    <w:rsid w:val="00AA0B28"/>
  </w:style>
  <w:style w:type="character" w:customStyle="1" w:styleId="tabchar">
    <w:name w:val="tabchar"/>
    <w:basedOn w:val="DefaultParagraphFont"/>
    <w:rsid w:val="00AA0B28"/>
  </w:style>
  <w:style w:type="character" w:customStyle="1" w:styleId="pagebreaktextspan">
    <w:name w:val="pagebreaktextspan"/>
    <w:basedOn w:val="DefaultParagraphFont"/>
    <w:rsid w:val="00AA0B28"/>
  </w:style>
  <w:style w:type="character" w:customStyle="1" w:styleId="scxw199793806">
    <w:name w:val="scxw199793806"/>
    <w:basedOn w:val="DefaultParagraphFont"/>
    <w:rsid w:val="00E24266"/>
  </w:style>
  <w:style w:type="character" w:customStyle="1" w:styleId="scxw112040565">
    <w:name w:val="scxw112040565"/>
    <w:basedOn w:val="DefaultParagraphFont"/>
    <w:rsid w:val="00F319E0"/>
  </w:style>
  <w:style w:type="paragraph" w:styleId="ListParagraph">
    <w:name w:val="List Paragraph"/>
    <w:basedOn w:val="Normal"/>
    <w:uiPriority w:val="34"/>
    <w:qFormat/>
    <w:rsid w:val="00F245C5"/>
    <w:pPr>
      <w:ind w:left="720"/>
      <w:contextualSpacing/>
    </w:pPr>
  </w:style>
  <w:style w:type="character" w:customStyle="1" w:styleId="scxw56832029">
    <w:name w:val="scxw56832029"/>
    <w:basedOn w:val="DefaultParagraphFont"/>
    <w:rsid w:val="00B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535697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Alamillo</dc:creator>
  <cp:keywords/>
  <dc:description/>
  <cp:lastModifiedBy>Divya Neelam</cp:lastModifiedBy>
  <cp:revision>3</cp:revision>
  <dcterms:created xsi:type="dcterms:W3CDTF">2023-01-09T16:43:00Z</dcterms:created>
  <dcterms:modified xsi:type="dcterms:W3CDTF">2023-01-09T16:43:00Z</dcterms:modified>
</cp:coreProperties>
</file>