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AE2F" w14:textId="77777777" w:rsidR="001B1C6C" w:rsidRPr="001B1C6C" w:rsidRDefault="001B1C6C" w:rsidP="001B1C6C">
      <w:pPr>
        <w:spacing w:after="0" w:line="240" w:lineRule="auto"/>
        <w:jc w:val="center"/>
        <w:textAlignment w:val="baseline"/>
        <w:rPr>
          <w:rFonts w:ascii="Segoe UI" w:eastAsia="Times New Roman" w:hAnsi="Segoe UI" w:cs="Segoe UI"/>
          <w:sz w:val="18"/>
          <w:szCs w:val="18"/>
        </w:rPr>
      </w:pPr>
      <w:r w:rsidRPr="001B1C6C">
        <w:rPr>
          <w:rFonts w:ascii="Cambria" w:eastAsia="Times New Roman" w:hAnsi="Cambria" w:cs="Segoe UI"/>
          <w:b/>
          <w:bCs/>
        </w:rPr>
        <w:t xml:space="preserve">LETTER OF MEDICAL NECESSITY FOR GENETIC TESTING FOR </w:t>
      </w:r>
      <w:r w:rsidRPr="001B1C6C">
        <w:rPr>
          <w:rFonts w:ascii="Cambria" w:eastAsia="Times New Roman" w:hAnsi="Cambria" w:cs="Segoe UI"/>
        </w:rPr>
        <w:t> </w:t>
      </w:r>
      <w:r w:rsidRPr="001B1C6C">
        <w:rPr>
          <w:rFonts w:ascii="Cambria" w:eastAsia="Times New Roman" w:hAnsi="Cambria" w:cs="Segoe UI"/>
        </w:rPr>
        <w:br/>
      </w:r>
      <w:r w:rsidRPr="001B1C6C">
        <w:rPr>
          <w:rFonts w:ascii="Cambria" w:eastAsia="Times New Roman" w:hAnsi="Cambria" w:cs="Segoe UI"/>
          <w:b/>
          <w:bCs/>
        </w:rPr>
        <w:t>INHERITED CARDIOVASCULAR CONDITIONS (</w:t>
      </w:r>
      <w:proofErr w:type="spellStart"/>
      <w:r w:rsidRPr="001B1C6C">
        <w:rPr>
          <w:rFonts w:ascii="Cambria" w:eastAsia="Times New Roman" w:hAnsi="Cambria" w:cs="Segoe UI"/>
          <w:b/>
          <w:bCs/>
        </w:rPr>
        <w:t>CardioNext</w:t>
      </w:r>
      <w:proofErr w:type="spellEnd"/>
      <w:r w:rsidRPr="001B1C6C">
        <w:rPr>
          <w:rFonts w:ascii="Cambria" w:eastAsia="Times New Roman" w:hAnsi="Cambria" w:cs="Segoe UI"/>
          <w:b/>
          <w:bCs/>
        </w:rPr>
        <w:t xml:space="preserve">, </w:t>
      </w:r>
      <w:proofErr w:type="spellStart"/>
      <w:r w:rsidRPr="001B1C6C">
        <w:rPr>
          <w:rFonts w:ascii="Cambria" w:eastAsia="Times New Roman" w:hAnsi="Cambria" w:cs="Segoe UI"/>
          <w:b/>
          <w:bCs/>
        </w:rPr>
        <w:t>CustomNext</w:t>
      </w:r>
      <w:proofErr w:type="spellEnd"/>
      <w:r w:rsidRPr="001B1C6C">
        <w:rPr>
          <w:rFonts w:ascii="Cambria" w:eastAsia="Times New Roman" w:hAnsi="Cambria" w:cs="Segoe UI"/>
          <w:b/>
          <w:bCs/>
        </w:rPr>
        <w:t>-</w:t>
      </w:r>
      <w:r w:rsidRPr="001B1C6C">
        <w:rPr>
          <w:rFonts w:ascii="Cambria" w:eastAsia="Times New Roman" w:hAnsi="Cambria" w:cs="Segoe UI"/>
          <w:b/>
          <w:bCs/>
          <w:i/>
          <w:iCs/>
        </w:rPr>
        <w:t>Cardio</w:t>
      </w:r>
      <w:r w:rsidRPr="001B1C6C">
        <w:rPr>
          <w:rFonts w:ascii="Cambria" w:eastAsia="Times New Roman" w:hAnsi="Cambria" w:cs="Segoe UI"/>
          <w:b/>
          <w:bCs/>
        </w:rPr>
        <w:t>)</w:t>
      </w:r>
      <w:r w:rsidRPr="001B1C6C">
        <w:rPr>
          <w:rFonts w:ascii="Cambria" w:eastAsia="Times New Roman" w:hAnsi="Cambria" w:cs="Segoe UI"/>
        </w:rPr>
        <w:t> </w:t>
      </w:r>
    </w:p>
    <w:p w14:paraId="2D8432DA" w14:textId="77777777" w:rsidR="001B1C6C" w:rsidRDefault="001B1C6C" w:rsidP="001B1C6C">
      <w:pPr>
        <w:spacing w:after="0" w:line="240" w:lineRule="auto"/>
        <w:textAlignment w:val="baseline"/>
        <w:rPr>
          <w:rFonts w:ascii="Cambria" w:eastAsia="Times New Roman" w:hAnsi="Cambria" w:cs="Segoe UI"/>
        </w:rPr>
      </w:pPr>
    </w:p>
    <w:p w14:paraId="025A2DA6" w14:textId="439FB34E"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xml:space="preserve">Date: </w:t>
      </w:r>
      <w:r>
        <w:rPr>
          <w:rFonts w:ascii="Cambria" w:eastAsia="Times New Roman" w:hAnsi="Cambria" w:cs="Segoe UI"/>
        </w:rPr>
        <w:tab/>
      </w:r>
      <w:r w:rsidRPr="001B1C6C">
        <w:rPr>
          <w:rFonts w:ascii="Cambria" w:eastAsia="Times New Roman" w:hAnsi="Cambria" w:cs="Segoe UI"/>
          <w:color w:val="00B0F0"/>
        </w:rPr>
        <w:t>Date of Service/claim </w:t>
      </w:r>
    </w:p>
    <w:p w14:paraId="5895F459" w14:textId="77777777" w:rsidR="001B1C6C" w:rsidRPr="001B1C6C" w:rsidRDefault="001B1C6C" w:rsidP="001B1C6C">
      <w:pPr>
        <w:spacing w:after="0" w:line="240" w:lineRule="auto"/>
        <w:ind w:left="5760" w:firstLine="720"/>
        <w:textAlignment w:val="baseline"/>
        <w:rPr>
          <w:rFonts w:ascii="Segoe UI" w:eastAsia="Times New Roman" w:hAnsi="Segoe UI" w:cs="Segoe UI"/>
          <w:sz w:val="18"/>
          <w:szCs w:val="18"/>
        </w:rPr>
      </w:pPr>
      <w:r w:rsidRPr="001B1C6C">
        <w:rPr>
          <w:rFonts w:ascii="Cambria" w:eastAsia="Times New Roman" w:hAnsi="Cambria" w:cs="Segoe UI"/>
        </w:rPr>
        <w:t>  </w:t>
      </w:r>
    </w:p>
    <w:p w14:paraId="0BCBD946" w14:textId="60AE9691"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To:</w:t>
      </w:r>
      <w:r w:rsidRPr="001B1C6C">
        <w:rPr>
          <w:rFonts w:ascii="Calibri" w:eastAsia="Times New Roman" w:hAnsi="Calibri" w:cs="Calibri"/>
        </w:rPr>
        <w:t xml:space="preserve"> </w:t>
      </w:r>
      <w:r>
        <w:rPr>
          <w:rFonts w:ascii="Calibri" w:eastAsia="Times New Roman" w:hAnsi="Calibri" w:cs="Calibri"/>
        </w:rPr>
        <w:tab/>
      </w:r>
      <w:r w:rsidRPr="001B1C6C">
        <w:rPr>
          <w:rFonts w:ascii="Cambria" w:eastAsia="Times New Roman" w:hAnsi="Cambria" w:cs="Segoe UI"/>
        </w:rPr>
        <w:t>Utilization Review Department  </w:t>
      </w:r>
    </w:p>
    <w:p w14:paraId="265AFBDE" w14:textId="77777777"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rPr>
        <w:t>Insurance Company Name, Address, City, State </w:t>
      </w:r>
    </w:p>
    <w:p w14:paraId="0B7D3849" w14:textId="77777777" w:rsidR="001B1C6C" w:rsidRPr="001B1C6C" w:rsidRDefault="001B1C6C" w:rsidP="001B1C6C">
      <w:pPr>
        <w:spacing w:after="0" w:line="240" w:lineRule="auto"/>
        <w:ind w:firstLine="3600"/>
        <w:textAlignment w:val="baseline"/>
        <w:rPr>
          <w:rFonts w:ascii="Segoe UI" w:eastAsia="Times New Roman" w:hAnsi="Segoe UI" w:cs="Segoe UI"/>
          <w:sz w:val="18"/>
          <w:szCs w:val="18"/>
        </w:rPr>
      </w:pPr>
      <w:r w:rsidRPr="001B1C6C">
        <w:rPr>
          <w:rFonts w:ascii="Cambria" w:eastAsia="Times New Roman" w:hAnsi="Cambria" w:cs="Segoe UI"/>
        </w:rPr>
        <w:t> </w:t>
      </w:r>
    </w:p>
    <w:p w14:paraId="5DE50AAE" w14:textId="24D333B6"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Re:</w:t>
      </w:r>
      <w:r w:rsidRPr="001B1C6C">
        <w:rPr>
          <w:rFonts w:ascii="Calibri" w:eastAsia="Times New Roman" w:hAnsi="Calibri" w:cs="Calibri"/>
        </w:rPr>
        <w:t xml:space="preserve"> </w:t>
      </w:r>
      <w:r>
        <w:rPr>
          <w:rFonts w:ascii="Calibri" w:eastAsia="Times New Roman" w:hAnsi="Calibri" w:cs="Calibri"/>
        </w:rPr>
        <w:tab/>
      </w:r>
      <w:r w:rsidRPr="001B1C6C">
        <w:rPr>
          <w:rFonts w:ascii="Cambria" w:eastAsia="Times New Roman" w:hAnsi="Cambria" w:cs="Segoe UI"/>
          <w:color w:val="00B0F0"/>
        </w:rPr>
        <w:t>Patient Name, DOB, ID # </w:t>
      </w:r>
    </w:p>
    <w:p w14:paraId="36D79DF6" w14:textId="77777777" w:rsidR="001B1C6C" w:rsidRPr="001B1C6C" w:rsidRDefault="001B1C6C" w:rsidP="001B1C6C">
      <w:pPr>
        <w:spacing w:after="0" w:line="240" w:lineRule="auto"/>
        <w:ind w:firstLine="1440"/>
        <w:textAlignment w:val="baseline"/>
        <w:rPr>
          <w:rFonts w:ascii="Segoe UI" w:eastAsia="Times New Roman" w:hAnsi="Segoe UI" w:cs="Segoe UI"/>
          <w:sz w:val="18"/>
          <w:szCs w:val="18"/>
        </w:rPr>
      </w:pPr>
      <w:r w:rsidRPr="001B1C6C">
        <w:rPr>
          <w:rFonts w:ascii="Cambria" w:eastAsia="Times New Roman" w:hAnsi="Cambria" w:cs="Segoe UI"/>
          <w:color w:val="00B0F0"/>
        </w:rPr>
        <w:t> </w:t>
      </w:r>
    </w:p>
    <w:p w14:paraId="08D3BDAA" w14:textId="77777777"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rPr>
        <w:t>ICD-10 Codes:  </w:t>
      </w:r>
    </w:p>
    <w:p w14:paraId="3E1FC753" w14:textId="77777777" w:rsidR="001B1C6C" w:rsidRPr="001B1C6C" w:rsidRDefault="001B1C6C" w:rsidP="001B1C6C">
      <w:pPr>
        <w:spacing w:after="0" w:line="240" w:lineRule="auto"/>
        <w:ind w:left="720"/>
        <w:textAlignment w:val="baseline"/>
        <w:rPr>
          <w:rFonts w:ascii="Segoe UI" w:eastAsia="Times New Roman" w:hAnsi="Segoe UI" w:cs="Segoe UI"/>
          <w:sz w:val="18"/>
          <w:szCs w:val="18"/>
        </w:rPr>
      </w:pPr>
      <w:r w:rsidRPr="001B1C6C">
        <w:rPr>
          <w:rFonts w:ascii="Cambria" w:eastAsia="Times New Roman" w:hAnsi="Cambria" w:cs="Segoe U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0EF79B90" w14:textId="77777777" w:rsidR="001B1C6C" w:rsidRDefault="001B1C6C" w:rsidP="001B1C6C">
      <w:pPr>
        <w:spacing w:after="0" w:line="240" w:lineRule="auto"/>
        <w:ind w:firstLine="720"/>
        <w:textAlignment w:val="baseline"/>
        <w:rPr>
          <w:rFonts w:ascii="Cambria" w:eastAsia="Times New Roman" w:hAnsi="Cambria" w:cs="Calibri"/>
          <w:color w:val="00B0F0"/>
          <w:sz w:val="18"/>
          <w:szCs w:val="18"/>
        </w:rPr>
      </w:pPr>
    </w:p>
    <w:p w14:paraId="07EE38EF" w14:textId="590AD0C3" w:rsidR="001B1C6C" w:rsidRPr="00E24266" w:rsidRDefault="001B1C6C" w:rsidP="001B1C6C">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 xml:space="preserve">Code </w:t>
      </w:r>
      <w:r>
        <w:rPr>
          <w:rFonts w:ascii="Cambria" w:eastAsia="Times New Roman" w:hAnsi="Cambria" w:cs="Calibri"/>
          <w:color w:val="00B0F0"/>
          <w:sz w:val="18"/>
          <w:szCs w:val="18"/>
        </w:rPr>
        <w:tab/>
      </w:r>
      <w:r w:rsidRPr="00E24266">
        <w:rPr>
          <w:rFonts w:ascii="Cambria" w:eastAsia="Times New Roman" w:hAnsi="Cambria" w:cs="Calibri"/>
          <w:color w:val="00B0F0"/>
          <w:sz w:val="18"/>
          <w:szCs w:val="18"/>
        </w:rPr>
        <w:t>Description </w:t>
      </w:r>
    </w:p>
    <w:p w14:paraId="642E8734" w14:textId="4C17AB2B"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I42.0</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DILATED CARDIOMYOPATHY </w:t>
      </w:r>
    </w:p>
    <w:p w14:paraId="6805BDBD" w14:textId="430E71E1"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I42.2</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OTHER HYPERTROPHIC CARDIOMYOPATHY </w:t>
      </w:r>
    </w:p>
    <w:p w14:paraId="3F4CF26C" w14:textId="1C3395BD"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I42.9</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CARDIOMYOPATHY, UNSPECIFIED  </w:t>
      </w:r>
    </w:p>
    <w:p w14:paraId="05FCEF42" w14:textId="020434B4"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I47.2</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VENTRICULAR TACHYCARDIA </w:t>
      </w:r>
    </w:p>
    <w:p w14:paraId="5373582B" w14:textId="766683FA"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I50.22</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CHRONIC SYSTOLIC (CONGESTIVE) HEART FAILURE </w:t>
      </w:r>
    </w:p>
    <w:p w14:paraId="0B0A555F" w14:textId="55E1FC91"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Z82.41</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FAMILY HISTORY OF SUDDEN CARDIAC DEATH </w:t>
      </w:r>
    </w:p>
    <w:p w14:paraId="2679D8A2" w14:textId="59A32310"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Z82.49</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FAMILY HISTORY OF ISCHEMIC HEART DISEASE AND OTHER DISEASES OF THE CIRCULATORY SYSTEM </w:t>
      </w:r>
    </w:p>
    <w:p w14:paraId="2B787E64" w14:textId="6284F53A" w:rsidR="001B1C6C" w:rsidRPr="001B1C6C" w:rsidRDefault="001B1C6C" w:rsidP="001B1C6C">
      <w:pPr>
        <w:spacing w:after="0" w:line="240" w:lineRule="auto"/>
        <w:ind w:firstLine="720"/>
        <w:textAlignment w:val="baseline"/>
        <w:rPr>
          <w:rFonts w:ascii="Segoe UI" w:eastAsia="Times New Roman" w:hAnsi="Segoe UI" w:cs="Segoe UI"/>
          <w:sz w:val="18"/>
          <w:szCs w:val="18"/>
        </w:rPr>
      </w:pPr>
      <w:r w:rsidRPr="001B1C6C">
        <w:rPr>
          <w:rFonts w:ascii="Cambria" w:eastAsia="Times New Roman" w:hAnsi="Cambria" w:cs="Segoe UI"/>
          <w:color w:val="00B0F0"/>
          <w:sz w:val="18"/>
          <w:szCs w:val="18"/>
        </w:rPr>
        <w:t>Z84.81</w:t>
      </w:r>
      <w:r w:rsidRPr="001B1C6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1B1C6C">
        <w:rPr>
          <w:rFonts w:ascii="Cambria" w:eastAsia="Times New Roman" w:hAnsi="Cambria" w:cs="Segoe UI"/>
          <w:color w:val="00B0F0"/>
          <w:sz w:val="18"/>
          <w:szCs w:val="18"/>
        </w:rPr>
        <w:t>FAMILY HISTORY OF CARRIER OF GENETIC DISEASE </w:t>
      </w:r>
    </w:p>
    <w:p w14:paraId="48959D5E" w14:textId="77777777" w:rsidR="001B1C6C" w:rsidRPr="001B1C6C" w:rsidRDefault="001B1C6C" w:rsidP="001B1C6C">
      <w:pPr>
        <w:pBdr>
          <w:bottom w:val="single" w:sz="12" w:space="1" w:color="auto"/>
        </w:pBdr>
        <w:spacing w:after="0" w:line="240" w:lineRule="auto"/>
        <w:ind w:firstLine="2880"/>
        <w:textAlignment w:val="baseline"/>
        <w:rPr>
          <w:rFonts w:ascii="Segoe UI" w:eastAsia="Times New Roman" w:hAnsi="Segoe UI" w:cs="Segoe UI"/>
          <w:sz w:val="18"/>
          <w:szCs w:val="18"/>
        </w:rPr>
      </w:pPr>
      <w:r w:rsidRPr="001B1C6C">
        <w:rPr>
          <w:rFonts w:ascii="Cambria" w:eastAsia="Times New Roman" w:hAnsi="Cambria" w:cs="Segoe UI"/>
        </w:rPr>
        <w:t>    </w:t>
      </w:r>
    </w:p>
    <w:p w14:paraId="2EC2ED3A"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071387E4"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This letter is regarding my patient and your subscriber, referenced above, to request full coverage of medically indicated genetic testing for hereditary cardiovascular conditions to be performed by Ambry Genetics Corporation.  </w:t>
      </w:r>
    </w:p>
    <w:p w14:paraId="1350E3B0"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213B90B6" w14:textId="77777777" w:rsidR="001B1C6C" w:rsidRPr="001B1C6C" w:rsidRDefault="001B1C6C" w:rsidP="001B1C6C">
      <w:pPr>
        <w:spacing w:after="0" w:line="240" w:lineRule="auto"/>
        <w:textAlignment w:val="baseline"/>
        <w:rPr>
          <w:rFonts w:ascii="Segoe UI" w:eastAsia="Times New Roman" w:hAnsi="Segoe UI" w:cs="Segoe UI"/>
          <w:sz w:val="18"/>
          <w:szCs w:val="18"/>
        </w:rPr>
      </w:pPr>
      <w:proofErr w:type="spellStart"/>
      <w:r w:rsidRPr="001B1C6C">
        <w:rPr>
          <w:rFonts w:ascii="Cambria" w:eastAsia="Times New Roman" w:hAnsi="Cambria" w:cs="Segoe UI"/>
        </w:rPr>
        <w:t>CardioNext</w:t>
      </w:r>
      <w:proofErr w:type="spellEnd"/>
      <w:r w:rsidRPr="001B1C6C">
        <w:rPr>
          <w:rFonts w:ascii="Cambria" w:eastAsia="Times New Roman" w:hAnsi="Cambria" w:cs="Segoe UI"/>
        </w:rPr>
        <w:t xml:space="preserve"> and </w:t>
      </w:r>
      <w:proofErr w:type="spellStart"/>
      <w:r w:rsidRPr="001B1C6C">
        <w:rPr>
          <w:rFonts w:ascii="Cambria" w:eastAsia="Times New Roman" w:hAnsi="Cambria" w:cs="Segoe UI"/>
        </w:rPr>
        <w:t>CustomNext</w:t>
      </w:r>
      <w:proofErr w:type="spellEnd"/>
      <w:r w:rsidRPr="001B1C6C">
        <w:rPr>
          <w:rFonts w:ascii="Cambria" w:eastAsia="Times New Roman" w:hAnsi="Cambria" w:cs="Segoe UI"/>
        </w:rPr>
        <w:t>-</w:t>
      </w:r>
      <w:r w:rsidRPr="001B1C6C">
        <w:rPr>
          <w:rFonts w:ascii="Cambria" w:eastAsia="Times New Roman" w:hAnsi="Cambria" w:cs="Segoe UI"/>
          <w:i/>
          <w:iCs/>
        </w:rPr>
        <w:t>Cardio</w:t>
      </w:r>
      <w:r w:rsidRPr="001B1C6C">
        <w:rPr>
          <w:rFonts w:ascii="Cambria" w:eastAsia="Times New Roman" w:hAnsi="Cambria" w:cs="Segoe UI"/>
        </w:rPr>
        <w:t xml:space="preserve"> analyze genes associated with hereditary cardiovascular conditions. These conditions may present with fatigue, syncope, stress and/or exercise intolerance, seizures, ECG abnormalities, arrythmias, palpitations, and/or congestive heart failure.</w:t>
      </w:r>
      <w:r w:rsidRPr="001B1C6C">
        <w:rPr>
          <w:rFonts w:ascii="Cambria" w:eastAsia="Times New Roman" w:hAnsi="Cambria" w:cs="Segoe UI"/>
          <w:sz w:val="17"/>
          <w:szCs w:val="17"/>
          <w:vertAlign w:val="superscript"/>
        </w:rPr>
        <w:t>1,3,5</w:t>
      </w:r>
      <w:r w:rsidRPr="001B1C6C">
        <w:rPr>
          <w:rFonts w:ascii="Cambria" w:eastAsia="Times New Roman" w:hAnsi="Cambria" w:cs="Segoe UI"/>
        </w:rPr>
        <w:t xml:space="preserve"> However,</w:t>
      </w:r>
      <w:r w:rsidRPr="001B1C6C">
        <w:rPr>
          <w:rFonts w:ascii="Cambria" w:eastAsia="Times New Roman" w:hAnsi="Cambria" w:cs="Segoe UI"/>
          <w:b/>
          <w:bCs/>
        </w:rPr>
        <w:t xml:space="preserve"> they are often asymptomatic and can result in sudden cardiac death.</w:t>
      </w:r>
      <w:r w:rsidRPr="001B1C6C">
        <w:rPr>
          <w:rFonts w:ascii="Cambria" w:eastAsia="Times New Roman" w:hAnsi="Cambria" w:cs="Segoe UI"/>
          <w:sz w:val="17"/>
          <w:szCs w:val="17"/>
          <w:vertAlign w:val="superscript"/>
        </w:rPr>
        <w:t>3,10</w:t>
      </w:r>
      <w:r w:rsidRPr="001B1C6C">
        <w:rPr>
          <w:rFonts w:ascii="Cambria" w:eastAsia="Times New Roman" w:hAnsi="Cambria" w:cs="Segoe UI"/>
          <w:b/>
          <w:bCs/>
        </w:rPr>
        <w:t xml:space="preserve"> </w:t>
      </w:r>
      <w:r w:rsidRPr="001B1C6C">
        <w:rPr>
          <w:rFonts w:ascii="Cambria" w:eastAsia="Times New Roman" w:hAnsi="Cambria" w:cs="Segoe UI"/>
        </w:rPr>
        <w:t>Given the clinical and genetic overlap between cardiovascular conditions, a single comprehensive test can be the most effective means of identifying at-risk individuals or confirming a diagnosis. </w:t>
      </w:r>
    </w:p>
    <w:p w14:paraId="052B4B52"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xml:space="preserve">Hereditary cardiovascular conditions can be caused by mutations in </w:t>
      </w:r>
      <w:proofErr w:type="gramStart"/>
      <w:r w:rsidRPr="001B1C6C">
        <w:rPr>
          <w:rFonts w:ascii="Cambria" w:eastAsia="Times New Roman" w:hAnsi="Cambria" w:cs="Segoe UI"/>
        </w:rPr>
        <w:t>a large number of</w:t>
      </w:r>
      <w:proofErr w:type="gramEnd"/>
      <w:r w:rsidRPr="001B1C6C">
        <w:rPr>
          <w:rFonts w:ascii="Cambria" w:eastAsia="Times New Roman" w:hAnsi="Cambria" w:cs="Segoe UI"/>
        </w:rPr>
        <w:t xml:space="preserve"> different genes.  </w:t>
      </w:r>
      <w:r w:rsidRPr="001B1C6C">
        <w:rPr>
          <w:rFonts w:ascii="Cambria" w:eastAsia="Times New Roman" w:hAnsi="Cambria" w:cs="Segoe UI"/>
          <w:b/>
          <w:bCs/>
        </w:rPr>
        <w:t xml:space="preserve">Significant aspects of my patient’s personal and/or family medical history that suggest a hereditary cardiovascular condition are below: </w:t>
      </w:r>
      <w:r w:rsidRPr="001B1C6C">
        <w:rPr>
          <w:rFonts w:ascii="Cambria" w:eastAsia="Times New Roman" w:hAnsi="Cambria" w:cs="Segoe UI"/>
          <w:color w:val="00B0F0"/>
        </w:rPr>
        <w:t>[check all that apply] </w:t>
      </w:r>
    </w:p>
    <w:p w14:paraId="68F53AEA"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Segoe UI" w:eastAsia="Times New Roman" w:hAnsi="Segoe UI" w:cs="Segoe UI"/>
          <w:color w:val="666666"/>
          <w:sz w:val="18"/>
          <w:szCs w:val="18"/>
          <w:shd w:val="clear" w:color="auto" w:fill="FFFFFF"/>
        </w:rPr>
        <w:t> </w:t>
      </w:r>
      <w:r w:rsidRPr="001B1C6C">
        <w:rPr>
          <w:rFonts w:ascii="Calibri" w:eastAsia="Times New Roman" w:hAnsi="Calibri" w:cs="Calibri"/>
        </w:rPr>
        <w:t> </w:t>
      </w:r>
    </w:p>
    <w:p w14:paraId="22E210B4"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Clinical suspicion for a hereditary cardiovascular condition based on echocardiogram, stress test, or Holter monitor results </w:t>
      </w:r>
    </w:p>
    <w:p w14:paraId="55A7A03B"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Clinical suspicion for a hereditary cardiovascular condition based on an identified structural cardiac abnormality </w:t>
      </w:r>
    </w:p>
    <w:p w14:paraId="1ABAE548"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Patient is a candidate for an implantable or wearable cardioverter defibrillator </w:t>
      </w:r>
    </w:p>
    <w:p w14:paraId="0EFAB993"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Personal and/or family history of palpitations, syncope, fatigue, seizures, stress and/or exercise intolerance </w:t>
      </w:r>
    </w:p>
    <w:p w14:paraId="43ADFBA4"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Personal and/or family history of cardiomyopathy, heart failure, cardiac transplantation, cardiac conduction system disease or arrhythmia, unexplained stroke or other thromboembolic disease </w:t>
      </w:r>
    </w:p>
    <w:p w14:paraId="049BA81C"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Personal and/or family history of sudden cardiac death or near sudden death </w:t>
      </w:r>
    </w:p>
    <w:p w14:paraId="628CF25E" w14:textId="77777777" w:rsidR="001B1C6C" w:rsidRPr="001B1C6C" w:rsidRDefault="001B1C6C" w:rsidP="001B1C6C">
      <w:pPr>
        <w:numPr>
          <w:ilvl w:val="0"/>
          <w:numId w:val="93"/>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Other: _______________________________________________________________________________________ </w:t>
      </w:r>
    </w:p>
    <w:p w14:paraId="721CC152" w14:textId="2C6E426B"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b/>
          <w:bCs/>
        </w:rPr>
        <w:lastRenderedPageBreak/>
        <w:t>The American College of Cardiology (ACC), the American College of Genetics and Genomics (ACMG), the American Heart Association (AHA)</w:t>
      </w:r>
      <w:r w:rsidRPr="001B1C6C">
        <w:rPr>
          <w:rFonts w:ascii="Cambria" w:eastAsia="Times New Roman" w:hAnsi="Cambria" w:cs="Segoe UI"/>
        </w:rPr>
        <w:t xml:space="preserve"> </w:t>
      </w:r>
      <w:r w:rsidRPr="001B1C6C">
        <w:rPr>
          <w:rFonts w:ascii="Cambria" w:eastAsia="Times New Roman" w:hAnsi="Cambria" w:cs="Segoe UI"/>
          <w:b/>
          <w:bCs/>
        </w:rPr>
        <w:t>and the</w:t>
      </w:r>
      <w:r w:rsidRPr="001B1C6C">
        <w:rPr>
          <w:rFonts w:ascii="Cambria" w:eastAsia="Times New Roman" w:hAnsi="Cambria" w:cs="Segoe UI"/>
        </w:rPr>
        <w:t xml:space="preserve"> </w:t>
      </w:r>
      <w:r w:rsidRPr="001B1C6C">
        <w:rPr>
          <w:rFonts w:ascii="Cambria" w:eastAsia="Times New Roman" w:hAnsi="Cambria" w:cs="Segoe UI"/>
          <w:b/>
          <w:bCs/>
        </w:rPr>
        <w:t>Heart Failure Society of America (HFSA), the Heart Rhythm Society (HRS) have all recognized the clinical utility of genetic testing for hereditary cardiomyopathy and support it as standard of care</w:t>
      </w:r>
      <w:r w:rsidRPr="001B1C6C">
        <w:rPr>
          <w:rFonts w:ascii="Cambria" w:eastAsia="Times New Roman" w:hAnsi="Cambria" w:cs="Segoe UI"/>
        </w:rPr>
        <w:t>.</w:t>
      </w:r>
      <w:r w:rsidRPr="001B1C6C">
        <w:rPr>
          <w:rFonts w:ascii="Cambria" w:eastAsia="Times New Roman" w:hAnsi="Cambria" w:cs="Segoe UI"/>
          <w:sz w:val="17"/>
          <w:szCs w:val="17"/>
          <w:vertAlign w:val="superscript"/>
        </w:rPr>
        <w:t>1,3,4,5,7,9,12,13</w:t>
      </w:r>
      <w:r w:rsidRPr="001B1C6C">
        <w:rPr>
          <w:rFonts w:ascii="Cambria" w:eastAsia="Times New Roman" w:hAnsi="Cambria" w:cs="Segoe UI"/>
          <w:b/>
          <w:bCs/>
        </w:rPr>
        <w:t>   </w:t>
      </w:r>
      <w:r w:rsidRPr="001B1C6C">
        <w:rPr>
          <w:rFonts w:ascii="Cambria" w:eastAsia="Times New Roman" w:hAnsi="Cambria" w:cs="Segoe UI"/>
        </w:rPr>
        <w:t> </w:t>
      </w:r>
    </w:p>
    <w:p w14:paraId="54314C9E"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02551D8C"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Identification of a mutation through genetic testing confirms a diagnosis of a hereditary cardiovascular condition or a predisposition to a hereditary cardiovascular condition. Genetic testing also informs prognosis, screening and treatment options, prevention efforts and genetic counseling, which can vary depending on the specific gene implicated in the disease.</w:t>
      </w:r>
      <w:r w:rsidRPr="001B1C6C">
        <w:rPr>
          <w:rFonts w:ascii="Cambria" w:eastAsia="Times New Roman" w:hAnsi="Cambria" w:cs="Segoe UI"/>
          <w:sz w:val="17"/>
          <w:szCs w:val="17"/>
          <w:vertAlign w:val="superscript"/>
        </w:rPr>
        <w:t xml:space="preserve"> </w:t>
      </w:r>
      <w:r w:rsidRPr="001B1C6C">
        <w:rPr>
          <w:rFonts w:ascii="Cambria" w:eastAsia="Times New Roman" w:hAnsi="Cambria" w:cs="Segoe UI"/>
        </w:rPr>
        <w:t>Specifically for this patient, the impact of testing may include</w:t>
      </w:r>
      <w:r w:rsidRPr="001B1C6C">
        <w:rPr>
          <w:rFonts w:ascii="Cambria" w:eastAsia="Times New Roman" w:hAnsi="Cambria" w:cs="Segoe UI"/>
          <w:sz w:val="19"/>
          <w:szCs w:val="19"/>
          <w:vertAlign w:val="superscript"/>
        </w:rPr>
        <w:t>6-</w:t>
      </w:r>
      <w:proofErr w:type="gramStart"/>
      <w:r w:rsidRPr="001B1C6C">
        <w:rPr>
          <w:rFonts w:ascii="Cambria" w:eastAsia="Times New Roman" w:hAnsi="Cambria" w:cs="Segoe UI"/>
          <w:sz w:val="19"/>
          <w:szCs w:val="19"/>
          <w:vertAlign w:val="superscript"/>
        </w:rPr>
        <w:t xml:space="preserve">14 </w:t>
      </w:r>
      <w:r w:rsidRPr="001B1C6C">
        <w:rPr>
          <w:rFonts w:ascii="Cambria" w:eastAsia="Times New Roman" w:hAnsi="Cambria" w:cs="Segoe UI"/>
        </w:rPr>
        <w:t>:</w:t>
      </w:r>
      <w:proofErr w:type="gramEnd"/>
      <w:r w:rsidRPr="001B1C6C">
        <w:rPr>
          <w:rFonts w:ascii="Cambria" w:eastAsia="Times New Roman" w:hAnsi="Cambria" w:cs="Segoe UI"/>
        </w:rPr>
        <w:t xml:space="preserve"> </w:t>
      </w:r>
      <w:r w:rsidRPr="001B1C6C">
        <w:rPr>
          <w:rFonts w:ascii="Cambria" w:eastAsia="Times New Roman" w:hAnsi="Cambria" w:cs="Segoe UI"/>
          <w:color w:val="00B0F0"/>
        </w:rPr>
        <w:t>[check all that apply] </w:t>
      </w:r>
    </w:p>
    <w:p w14:paraId="165B36AA"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444CD115"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could allow immediate management and treatment to anticipate and control common clinical findings based on the results of the testing </w:t>
      </w:r>
    </w:p>
    <w:p w14:paraId="51FDDB62"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could inform lifestyle modifications for the patient </w:t>
      </w:r>
    </w:p>
    <w:p w14:paraId="12D626C1"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could assist in risk stratification, long-term management and monitoring of suspected disease progression based on the results of the testing </w:t>
      </w:r>
    </w:p>
    <w:p w14:paraId="3C998006"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could lead to changes in diagnostic procedures such that more potentially invasive alternative procedures could be avoided, reducing unnecessary tests and cost </w:t>
      </w:r>
    </w:p>
    <w:p w14:paraId="67D12BB6"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will lead to informed decisions for other family members with similar conditions, or that may be at risk for similar conditions </w:t>
      </w:r>
    </w:p>
    <w:p w14:paraId="5E86D489"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7594696D" w14:textId="77777777" w:rsidR="001B1C6C" w:rsidRPr="001B1C6C" w:rsidRDefault="001B1C6C" w:rsidP="001B1C6C">
      <w:pPr>
        <w:numPr>
          <w:ilvl w:val="0"/>
          <w:numId w:val="94"/>
        </w:numPr>
        <w:spacing w:after="0" w:line="240" w:lineRule="auto"/>
        <w:textAlignment w:val="baseline"/>
        <w:rPr>
          <w:rFonts w:ascii="Cambria" w:eastAsia="Times New Roman" w:hAnsi="Cambria" w:cs="Segoe UI"/>
          <w:color w:val="00B0F0"/>
        </w:rPr>
      </w:pPr>
      <w:r w:rsidRPr="001B1C6C">
        <w:rPr>
          <w:rFonts w:ascii="Cambria" w:eastAsia="Times New Roman" w:hAnsi="Cambria" w:cs="Segoe UI"/>
          <w:color w:val="00B0F0"/>
        </w:rPr>
        <w:t>Other: _______________________________________________________________________________________ </w:t>
      </w:r>
    </w:p>
    <w:p w14:paraId="599D7CBF"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09C798DC"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xml:space="preserve">Based on the screening, lifestyle, and treatment modifications indicated above, this test has clinical utility for my patient. Due to the </w:t>
      </w:r>
      <w:r w:rsidRPr="001B1C6C">
        <w:rPr>
          <w:rFonts w:ascii="Cambria" w:eastAsia="Times New Roman" w:hAnsi="Cambria" w:cs="Segoe UI"/>
          <w:b/>
          <w:bCs/>
        </w:rPr>
        <w:t>risk of sudden cardiac death</w:t>
      </w:r>
      <w:r w:rsidRPr="001B1C6C">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genetic testing for a hereditary cardiovascular conditions in my patient.  </w:t>
      </w:r>
    </w:p>
    <w:p w14:paraId="493FF1DC"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352E58C5"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Segoe UI" w:eastAsia="Times New Roman" w:hAnsi="Segoe UI" w:cs="Segoe UI"/>
          <w:color w:val="666666"/>
          <w:sz w:val="18"/>
          <w:szCs w:val="18"/>
          <w:shd w:val="clear" w:color="auto" w:fill="FFFFFF"/>
        </w:rPr>
        <w:t> </w:t>
      </w:r>
      <w:r w:rsidRPr="001B1C6C">
        <w:rPr>
          <w:rFonts w:ascii="Calibri" w:eastAsia="Times New Roman" w:hAnsi="Calibri" w:cs="Calibri"/>
        </w:rPr>
        <w:t> </w:t>
      </w:r>
    </w:p>
    <w:p w14:paraId="4E103ADB"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Thank you for your time and please don’t hesitate to contact me with any questions.  </w:t>
      </w:r>
    </w:p>
    <w:p w14:paraId="5FAED3BA"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50FD5D30"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Sincerely, </w:t>
      </w:r>
    </w:p>
    <w:p w14:paraId="22ECD361"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7275FB04"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332BACEF"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color w:val="00B0F0"/>
        </w:rPr>
        <w:t>Ordering Clinician Name</w:t>
      </w:r>
      <w:r w:rsidRPr="001B1C6C">
        <w:rPr>
          <w:rFonts w:ascii="Cambria" w:eastAsia="Times New Roman" w:hAnsi="Cambria" w:cs="Segoe UI"/>
        </w:rPr>
        <w:t xml:space="preserve"> (Signature Provided on Test Requisition Form)  </w:t>
      </w:r>
    </w:p>
    <w:p w14:paraId="2D9616A1"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(MD/DO, Clinical Nurse Specialist, Nurse-Midwives, Nurse Practitioner, Physician Assistant, Genetic Counselor*)  </w:t>
      </w:r>
    </w:p>
    <w:p w14:paraId="71EEF51A"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773DE5BF"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*Authorized clinician requirements vary by state  </w:t>
      </w:r>
    </w:p>
    <w:p w14:paraId="1CA3C19B"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51471C77"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b/>
          <w:bCs/>
        </w:rPr>
        <w:t>Test Details</w:t>
      </w:r>
      <w:r w:rsidRPr="001B1C6C">
        <w:rPr>
          <w:rFonts w:ascii="Cambria" w:eastAsia="Times New Roman" w:hAnsi="Cambria" w:cs="Segoe UI"/>
        </w:rPr>
        <w:t> </w:t>
      </w:r>
    </w:p>
    <w:p w14:paraId="301BF42C"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3B7307E3" w14:textId="28E2B425"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Test Name:</w:t>
      </w:r>
      <w:r>
        <w:rPr>
          <w:rFonts w:ascii="Cambria" w:eastAsia="Times New Roman" w:hAnsi="Cambria" w:cs="Segoe UI"/>
        </w:rPr>
        <w:tab/>
      </w:r>
      <w:proofErr w:type="spellStart"/>
      <w:r w:rsidRPr="001B1C6C">
        <w:rPr>
          <w:rFonts w:ascii="Cambria" w:eastAsia="Times New Roman" w:hAnsi="Cambria" w:cs="Segoe UI"/>
          <w:color w:val="000000" w:themeColor="text1"/>
        </w:rPr>
        <w:t>CardioNext</w:t>
      </w:r>
      <w:proofErr w:type="spellEnd"/>
      <w:r w:rsidRPr="001B1C6C">
        <w:rPr>
          <w:rFonts w:ascii="Cambria" w:eastAsia="Times New Roman" w:hAnsi="Cambria" w:cs="Segoe UI"/>
          <w:color w:val="000000" w:themeColor="text1"/>
        </w:rPr>
        <w:t>/</w:t>
      </w:r>
      <w:proofErr w:type="spellStart"/>
      <w:r w:rsidRPr="001B1C6C">
        <w:rPr>
          <w:rFonts w:ascii="Cambria" w:eastAsia="Times New Roman" w:hAnsi="Cambria" w:cs="Segoe UI"/>
          <w:color w:val="000000" w:themeColor="text1"/>
        </w:rPr>
        <w:t>CustomNext</w:t>
      </w:r>
      <w:proofErr w:type="spellEnd"/>
      <w:r w:rsidRPr="001B1C6C">
        <w:rPr>
          <w:rFonts w:ascii="Cambria" w:eastAsia="Times New Roman" w:hAnsi="Cambria" w:cs="Segoe UI"/>
          <w:color w:val="000000" w:themeColor="text1"/>
        </w:rPr>
        <w:t>-</w:t>
      </w:r>
      <w:r w:rsidRPr="001B1C6C">
        <w:rPr>
          <w:rFonts w:ascii="Cambria" w:eastAsia="Times New Roman" w:hAnsi="Cambria" w:cs="Segoe UI"/>
          <w:i/>
          <w:iCs/>
          <w:color w:val="000000" w:themeColor="text1"/>
        </w:rPr>
        <w:t>Cardio</w:t>
      </w:r>
      <w:r w:rsidRPr="001B1C6C">
        <w:rPr>
          <w:rFonts w:ascii="Cambria" w:eastAsia="Times New Roman" w:hAnsi="Cambria" w:cs="Segoe UI"/>
          <w:color w:val="000000" w:themeColor="text1"/>
        </w:rPr>
        <w:t> </w:t>
      </w:r>
    </w:p>
    <w:p w14:paraId="47026961"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429186E1" w14:textId="1C25BC9F"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xml:space="preserve">CPT </w:t>
      </w:r>
      <w:r w:rsidRPr="001B1C6C">
        <w:rPr>
          <w:rFonts w:ascii="Cambria" w:eastAsia="Times New Roman" w:hAnsi="Cambria" w:cs="Segoe UI"/>
          <w:color w:val="000000" w:themeColor="text1"/>
        </w:rPr>
        <w:t xml:space="preserve">codes: </w:t>
      </w:r>
      <w:r w:rsidRPr="001B1C6C">
        <w:rPr>
          <w:rFonts w:ascii="Cambria" w:eastAsia="Times New Roman" w:hAnsi="Cambria" w:cs="Segoe UI"/>
          <w:color w:val="000000" w:themeColor="text1"/>
        </w:rPr>
        <w:tab/>
        <w:t>81413, 81414 </w:t>
      </w:r>
    </w:p>
    <w:p w14:paraId="63F03B01" w14:textId="77777777" w:rsidR="001B1C6C" w:rsidRPr="001B1C6C" w:rsidRDefault="001B1C6C" w:rsidP="001B1C6C">
      <w:pPr>
        <w:spacing w:after="0" w:line="240" w:lineRule="auto"/>
        <w:ind w:left="1440" w:hanging="1440"/>
        <w:textAlignment w:val="baseline"/>
        <w:rPr>
          <w:rFonts w:ascii="Segoe UI" w:eastAsia="Times New Roman" w:hAnsi="Segoe UI" w:cs="Segoe UI"/>
          <w:sz w:val="18"/>
          <w:szCs w:val="18"/>
        </w:rPr>
      </w:pPr>
      <w:r w:rsidRPr="001B1C6C">
        <w:rPr>
          <w:rFonts w:ascii="Cambria" w:eastAsia="Times New Roman" w:hAnsi="Cambria" w:cs="Segoe UI"/>
        </w:rPr>
        <w:t> </w:t>
      </w:r>
    </w:p>
    <w:p w14:paraId="12148A54" w14:textId="7BFB6D1E" w:rsidR="001B1C6C" w:rsidRPr="001B1C6C" w:rsidRDefault="001B1C6C" w:rsidP="001B1C6C">
      <w:pPr>
        <w:spacing w:after="0" w:line="240" w:lineRule="auto"/>
        <w:ind w:left="1440" w:hanging="1440"/>
        <w:textAlignment w:val="baseline"/>
        <w:rPr>
          <w:rFonts w:ascii="Segoe UI" w:eastAsia="Times New Roman" w:hAnsi="Segoe UI" w:cs="Segoe UI"/>
          <w:sz w:val="18"/>
          <w:szCs w:val="18"/>
        </w:rPr>
      </w:pPr>
      <w:r w:rsidRPr="001B1C6C">
        <w:rPr>
          <w:rFonts w:ascii="Cambria" w:eastAsia="Times New Roman" w:hAnsi="Cambria" w:cs="Segoe UI"/>
        </w:rPr>
        <w:lastRenderedPageBreak/>
        <w:t>Laboratory:</w:t>
      </w:r>
      <w:r>
        <w:rPr>
          <w:rFonts w:ascii="Cambria" w:eastAsia="Times New Roman" w:hAnsi="Cambria" w:cs="Segoe UI"/>
        </w:rPr>
        <w:tab/>
      </w:r>
      <w:r w:rsidRPr="001B1C6C">
        <w:rPr>
          <w:rFonts w:ascii="Cambria" w:eastAsia="Times New Roman" w:hAnsi="Cambria" w:cs="Segoe UI"/>
        </w:rPr>
        <w:t>Ambry Genetics Corporation (TIN 33-0892453 / NPI 1861568784), a CAP-accredited and CLIA-certified laboratory located at 7 Argonaut, Aliso Viejo, CA 92656 </w:t>
      </w:r>
    </w:p>
    <w:p w14:paraId="390B80BF" w14:textId="77777777" w:rsidR="001B1C6C" w:rsidRPr="001B1C6C" w:rsidRDefault="001B1C6C" w:rsidP="001B1C6C">
      <w:pPr>
        <w:spacing w:after="0" w:line="240" w:lineRule="auto"/>
        <w:textAlignment w:val="baseline"/>
        <w:rPr>
          <w:rFonts w:ascii="Segoe UI" w:eastAsia="Times New Roman" w:hAnsi="Segoe UI" w:cs="Segoe UI"/>
          <w:sz w:val="18"/>
          <w:szCs w:val="18"/>
        </w:rPr>
      </w:pPr>
      <w:r w:rsidRPr="001B1C6C">
        <w:rPr>
          <w:rFonts w:ascii="Cambria" w:eastAsia="Times New Roman" w:hAnsi="Cambria" w:cs="Segoe UI"/>
        </w:rPr>
        <w:t> </w:t>
      </w:r>
    </w:p>
    <w:p w14:paraId="0956FD20" w14:textId="728B4C56" w:rsidR="001B1C6C" w:rsidRPr="001B1C6C" w:rsidRDefault="001B1C6C" w:rsidP="001B1C6C">
      <w:pPr>
        <w:spacing w:after="0" w:line="240" w:lineRule="auto"/>
        <w:textAlignment w:val="baseline"/>
        <w:rPr>
          <w:rFonts w:ascii="Cambria" w:eastAsia="Times New Roman" w:hAnsi="Cambria" w:cs="Segoe UI"/>
          <w:b/>
          <w:bCs/>
        </w:rPr>
      </w:pPr>
      <w:r w:rsidRPr="001B1C6C">
        <w:rPr>
          <w:rFonts w:ascii="Cambria" w:eastAsia="Times New Roman" w:hAnsi="Cambria" w:cs="Segoe UI"/>
          <w:b/>
          <w:bCs/>
        </w:rPr>
        <w:t>References</w:t>
      </w:r>
    </w:p>
    <w:p w14:paraId="64FC63CB" w14:textId="77777777" w:rsidR="001B1C6C" w:rsidRPr="001B1C6C" w:rsidRDefault="001B1C6C" w:rsidP="001B1C6C">
      <w:pPr>
        <w:spacing w:after="0" w:line="240" w:lineRule="auto"/>
        <w:textAlignment w:val="baseline"/>
        <w:rPr>
          <w:rFonts w:ascii="Segoe UI" w:eastAsia="Times New Roman" w:hAnsi="Segoe UI" w:cs="Segoe UI"/>
          <w:sz w:val="18"/>
          <w:szCs w:val="18"/>
        </w:rPr>
      </w:pPr>
    </w:p>
    <w:p w14:paraId="69397104" w14:textId="77777777" w:rsidR="001B1C6C" w:rsidRPr="001B1C6C" w:rsidRDefault="001B1C6C" w:rsidP="001B1C6C">
      <w:pPr>
        <w:numPr>
          <w:ilvl w:val="0"/>
          <w:numId w:val="79"/>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rPr>
        <w:t xml:space="preserve">Gersh BJ, et al. 2011 ACCF/AHA guideline for the diagnosis and treatment of hypertrophic cardiomyopathy: executive summary: a report of the American College of Cardiology Foundation/American Heart Association Task Force on Practice Guidelines. </w:t>
      </w:r>
      <w:hyperlink r:id="rId7" w:tgtFrame="_blank" w:history="1">
        <w:r w:rsidRPr="001B1C6C">
          <w:rPr>
            <w:rFonts w:ascii="Cambria" w:eastAsia="Times New Roman" w:hAnsi="Cambria" w:cs="Segoe UI"/>
            <w:color w:val="000000"/>
            <w:sz w:val="16"/>
            <w:szCs w:val="16"/>
            <w:u w:val="single"/>
            <w:shd w:val="clear" w:color="auto" w:fill="FFFFFF"/>
          </w:rPr>
          <w:t xml:space="preserve">J </w:t>
        </w:r>
        <w:proofErr w:type="spellStart"/>
        <w:r w:rsidRPr="001B1C6C">
          <w:rPr>
            <w:rFonts w:ascii="Cambria" w:eastAsia="Times New Roman" w:hAnsi="Cambria" w:cs="Segoe UI"/>
            <w:color w:val="000000"/>
            <w:sz w:val="16"/>
            <w:szCs w:val="16"/>
            <w:u w:val="single"/>
            <w:shd w:val="clear" w:color="auto" w:fill="FFFFFF"/>
          </w:rPr>
          <w:t>Thorac</w:t>
        </w:r>
        <w:proofErr w:type="spellEnd"/>
        <w:r w:rsidRPr="001B1C6C">
          <w:rPr>
            <w:rFonts w:ascii="Cambria" w:eastAsia="Times New Roman" w:hAnsi="Cambria" w:cs="Segoe UI"/>
            <w:color w:val="000000"/>
            <w:sz w:val="16"/>
            <w:szCs w:val="16"/>
            <w:u w:val="single"/>
            <w:shd w:val="clear" w:color="auto" w:fill="FFFFFF"/>
          </w:rPr>
          <w:t xml:space="preserve"> Cardiovasc Surg.</w:t>
        </w:r>
      </w:hyperlink>
      <w:r w:rsidRPr="001B1C6C">
        <w:rPr>
          <w:rFonts w:ascii="Cambria" w:eastAsia="Times New Roman" w:hAnsi="Cambria" w:cs="Segoe UI"/>
          <w:color w:val="000000"/>
          <w:sz w:val="16"/>
          <w:szCs w:val="16"/>
          <w:shd w:val="clear" w:color="auto" w:fill="FFFFFF"/>
        </w:rPr>
        <w:t> 2011 Dec;142(6):1303-38. </w:t>
      </w:r>
      <w:r w:rsidRPr="001B1C6C">
        <w:rPr>
          <w:rFonts w:ascii="Cambria" w:eastAsia="Times New Roman" w:hAnsi="Cambria" w:cs="Segoe UI"/>
          <w:color w:val="000000"/>
          <w:sz w:val="16"/>
          <w:szCs w:val="16"/>
        </w:rPr>
        <w:t> </w:t>
      </w:r>
    </w:p>
    <w:p w14:paraId="5BB18FBA" w14:textId="77777777" w:rsidR="001B1C6C" w:rsidRPr="001B1C6C" w:rsidRDefault="001B1C6C" w:rsidP="001B1C6C">
      <w:pPr>
        <w:numPr>
          <w:ilvl w:val="0"/>
          <w:numId w:val="80"/>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rPr>
        <w:t xml:space="preserve">Hershberger RE, et al. Dilated cardiomyopathy: the complexity of a diverse genetic architecture. </w:t>
      </w:r>
      <w:hyperlink r:id="rId8" w:tgtFrame="_blank" w:history="1">
        <w:r w:rsidRPr="001B1C6C">
          <w:rPr>
            <w:rFonts w:ascii="Cambria" w:eastAsia="Times New Roman" w:hAnsi="Cambria" w:cs="Segoe UI"/>
            <w:color w:val="000000"/>
            <w:sz w:val="16"/>
            <w:szCs w:val="16"/>
            <w:u w:val="single"/>
            <w:shd w:val="clear" w:color="auto" w:fill="FFFFFF"/>
          </w:rPr>
          <w:t xml:space="preserve">Nat Rev </w:t>
        </w:r>
        <w:proofErr w:type="spellStart"/>
        <w:r w:rsidRPr="001B1C6C">
          <w:rPr>
            <w:rFonts w:ascii="Cambria" w:eastAsia="Times New Roman" w:hAnsi="Cambria" w:cs="Segoe UI"/>
            <w:color w:val="000000"/>
            <w:sz w:val="16"/>
            <w:szCs w:val="16"/>
            <w:u w:val="single"/>
            <w:shd w:val="clear" w:color="auto" w:fill="FFFFFF"/>
          </w:rPr>
          <w:t>Cardiol</w:t>
        </w:r>
        <w:proofErr w:type="spellEnd"/>
        <w:r w:rsidRPr="001B1C6C">
          <w:rPr>
            <w:rFonts w:ascii="Cambria" w:eastAsia="Times New Roman" w:hAnsi="Cambria" w:cs="Segoe UI"/>
            <w:color w:val="000000"/>
            <w:sz w:val="16"/>
            <w:szCs w:val="16"/>
            <w:u w:val="single"/>
            <w:shd w:val="clear" w:color="auto" w:fill="FFFFFF"/>
          </w:rPr>
          <w:t>.</w:t>
        </w:r>
      </w:hyperlink>
      <w:r w:rsidRPr="001B1C6C">
        <w:rPr>
          <w:rFonts w:ascii="Cambria" w:eastAsia="Times New Roman" w:hAnsi="Cambria" w:cs="Segoe UI"/>
          <w:color w:val="000000"/>
          <w:sz w:val="16"/>
          <w:szCs w:val="16"/>
          <w:shd w:val="clear" w:color="auto" w:fill="FFFFFF"/>
        </w:rPr>
        <w:t> 2013 Sep;10(9):531-47.</w:t>
      </w:r>
      <w:r w:rsidRPr="001B1C6C">
        <w:rPr>
          <w:rFonts w:ascii="Cambria" w:eastAsia="Times New Roman" w:hAnsi="Cambria" w:cs="Segoe UI"/>
          <w:color w:val="000000"/>
          <w:sz w:val="16"/>
          <w:szCs w:val="16"/>
        </w:rPr>
        <w:t> </w:t>
      </w:r>
    </w:p>
    <w:p w14:paraId="45E3B447" w14:textId="77777777" w:rsidR="001B1C6C" w:rsidRPr="001B1C6C" w:rsidRDefault="001B1C6C" w:rsidP="001B1C6C">
      <w:pPr>
        <w:numPr>
          <w:ilvl w:val="0"/>
          <w:numId w:val="81"/>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 xml:space="preserve">Ackerman MJ, et al. </w:t>
      </w:r>
      <w:r w:rsidRPr="001B1C6C">
        <w:rPr>
          <w:rFonts w:ascii="Cambria" w:eastAsia="Times New Roman" w:hAnsi="Cambria" w:cs="Segoe UI"/>
          <w:color w:val="000000"/>
          <w:sz w:val="16"/>
          <w:szCs w:val="16"/>
        </w:rPr>
        <w:t>HRS/EHRA expert consensus statement on the state of genetic testing for the channelopathies and cardiomyopathies this document was developed as a partnership between the Heart Rhythm Society (HRS) and the European Heart Rhythm Association (EHRA).</w:t>
      </w:r>
      <w:r w:rsidRPr="001B1C6C">
        <w:rPr>
          <w:rFonts w:ascii="Cambria" w:eastAsia="Times New Roman" w:hAnsi="Cambria" w:cs="Segoe UI"/>
          <w:b/>
          <w:bCs/>
          <w:color w:val="000000"/>
          <w:sz w:val="16"/>
          <w:szCs w:val="16"/>
        </w:rPr>
        <w:t xml:space="preserve"> </w:t>
      </w:r>
      <w:hyperlink r:id="rId9" w:tgtFrame="_blank" w:history="1">
        <w:r w:rsidRPr="001B1C6C">
          <w:rPr>
            <w:rFonts w:ascii="Cambria" w:eastAsia="Times New Roman" w:hAnsi="Cambria" w:cs="Segoe UI"/>
            <w:color w:val="000000"/>
            <w:sz w:val="16"/>
            <w:szCs w:val="16"/>
            <w:u w:val="single"/>
            <w:shd w:val="clear" w:color="auto" w:fill="FFFFFF"/>
          </w:rPr>
          <w:t>Heart Rhythm.</w:t>
        </w:r>
      </w:hyperlink>
      <w:r w:rsidRPr="001B1C6C">
        <w:rPr>
          <w:rFonts w:ascii="Cambria" w:eastAsia="Times New Roman" w:hAnsi="Cambria" w:cs="Segoe UI"/>
          <w:color w:val="000000"/>
          <w:sz w:val="16"/>
          <w:szCs w:val="16"/>
          <w:u w:val="single"/>
          <w:shd w:val="clear" w:color="auto" w:fill="FFFFFF"/>
        </w:rPr>
        <w:t xml:space="preserve"> </w:t>
      </w:r>
      <w:r w:rsidRPr="001B1C6C">
        <w:rPr>
          <w:rFonts w:ascii="Cambria" w:eastAsia="Times New Roman" w:hAnsi="Cambria" w:cs="Segoe UI"/>
          <w:color w:val="000000"/>
          <w:sz w:val="16"/>
          <w:szCs w:val="16"/>
          <w:shd w:val="clear" w:color="auto" w:fill="FFFFFF"/>
        </w:rPr>
        <w:t>2011 Aug;8(8):1308-39.</w:t>
      </w:r>
      <w:r w:rsidRPr="001B1C6C">
        <w:rPr>
          <w:rFonts w:ascii="Cambria" w:eastAsia="Times New Roman" w:hAnsi="Cambria" w:cs="Segoe UI"/>
          <w:color w:val="000000"/>
          <w:sz w:val="16"/>
          <w:szCs w:val="16"/>
        </w:rPr>
        <w:t> </w:t>
      </w:r>
    </w:p>
    <w:p w14:paraId="4B87DC3D" w14:textId="77777777" w:rsidR="001B1C6C" w:rsidRPr="001B1C6C" w:rsidRDefault="001B1C6C" w:rsidP="001B1C6C">
      <w:pPr>
        <w:numPr>
          <w:ilvl w:val="0"/>
          <w:numId w:val="82"/>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rPr>
        <w:t xml:space="preserve">Hershberger RE, et al. ACMG Professional Practice and Guidelines Committee. Genetic evaluation of cardiomyopathy: a clinical practice resource of the American College of Medical Genetics and Genomics (ACMG). </w:t>
      </w:r>
      <w:r w:rsidRPr="001B1C6C">
        <w:rPr>
          <w:rFonts w:ascii="Cambria" w:eastAsia="Times New Roman" w:hAnsi="Cambria" w:cs="Segoe UI"/>
          <w:color w:val="000000"/>
          <w:sz w:val="16"/>
          <w:szCs w:val="16"/>
          <w:u w:val="single"/>
        </w:rPr>
        <w:t>Genet Med.</w:t>
      </w:r>
      <w:r w:rsidRPr="001B1C6C">
        <w:rPr>
          <w:rFonts w:ascii="Cambria" w:eastAsia="Times New Roman" w:hAnsi="Cambria" w:cs="Segoe UI"/>
          <w:color w:val="000000"/>
          <w:sz w:val="16"/>
          <w:szCs w:val="16"/>
        </w:rPr>
        <w:t xml:space="preserve"> 2018;20:899-909Hershberger RE, et al. Genetic Evaluation of Cardiomyopathy - A Heart Failure Society of America Practice Guideline.  </w:t>
      </w:r>
      <w:hyperlink r:id="rId10" w:tgtFrame="_blank" w:history="1">
        <w:r w:rsidRPr="001B1C6C">
          <w:rPr>
            <w:rFonts w:ascii="Cambria" w:eastAsia="Times New Roman" w:hAnsi="Cambria" w:cs="Segoe UI"/>
            <w:color w:val="000000"/>
            <w:sz w:val="16"/>
            <w:szCs w:val="16"/>
            <w:u w:val="single"/>
            <w:shd w:val="clear" w:color="auto" w:fill="FFFFFF"/>
          </w:rPr>
          <w:t>J Card Fail.</w:t>
        </w:r>
      </w:hyperlink>
      <w:r w:rsidRPr="001B1C6C">
        <w:rPr>
          <w:rFonts w:ascii="Cambria" w:eastAsia="Times New Roman" w:hAnsi="Cambria" w:cs="Segoe UI"/>
          <w:color w:val="000000"/>
          <w:sz w:val="16"/>
          <w:szCs w:val="16"/>
          <w:shd w:val="clear" w:color="auto" w:fill="FFFFFF"/>
        </w:rPr>
        <w:t> 2018 May;24(5):281-302.</w:t>
      </w:r>
      <w:r w:rsidRPr="001B1C6C">
        <w:rPr>
          <w:rFonts w:ascii="Cambria" w:eastAsia="Times New Roman" w:hAnsi="Cambria" w:cs="Segoe UI"/>
          <w:color w:val="000000"/>
          <w:sz w:val="16"/>
          <w:szCs w:val="16"/>
        </w:rPr>
        <w:t> </w:t>
      </w:r>
    </w:p>
    <w:p w14:paraId="3618DED6" w14:textId="77777777" w:rsidR="001B1C6C" w:rsidRPr="001B1C6C" w:rsidRDefault="001B1C6C" w:rsidP="001B1C6C">
      <w:pPr>
        <w:numPr>
          <w:ilvl w:val="0"/>
          <w:numId w:val="83"/>
        </w:numPr>
        <w:shd w:val="clear" w:color="auto" w:fill="FFFFFF"/>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rPr>
        <w:t xml:space="preserve">Musunuru K, et al. Genetic Testing for Inherited Cardiovascular Diseases: A Scientific Statement From the American Heart Association. Circ </w:t>
      </w:r>
      <w:proofErr w:type="spellStart"/>
      <w:r w:rsidRPr="001B1C6C">
        <w:rPr>
          <w:rFonts w:ascii="Cambria" w:eastAsia="Times New Roman" w:hAnsi="Cambria" w:cs="Segoe UI"/>
          <w:color w:val="000000"/>
          <w:sz w:val="16"/>
          <w:szCs w:val="16"/>
        </w:rPr>
        <w:t>Genom</w:t>
      </w:r>
      <w:proofErr w:type="spellEnd"/>
      <w:r w:rsidRPr="001B1C6C">
        <w:rPr>
          <w:rFonts w:ascii="Cambria" w:eastAsia="Times New Roman" w:hAnsi="Cambria" w:cs="Segoe UI"/>
          <w:color w:val="000000"/>
          <w:sz w:val="16"/>
          <w:szCs w:val="16"/>
        </w:rPr>
        <w:t xml:space="preserve"> Precis Med</w:t>
      </w:r>
      <w:r w:rsidRPr="001B1C6C">
        <w:rPr>
          <w:rFonts w:ascii="Cambria" w:eastAsia="Times New Roman" w:hAnsi="Cambria" w:cs="Segoe UI"/>
          <w:i/>
          <w:iCs/>
          <w:color w:val="000000"/>
          <w:sz w:val="16"/>
          <w:szCs w:val="16"/>
        </w:rPr>
        <w:t xml:space="preserve">. </w:t>
      </w:r>
      <w:r w:rsidRPr="001B1C6C">
        <w:rPr>
          <w:rFonts w:ascii="Cambria" w:eastAsia="Times New Roman" w:hAnsi="Cambria" w:cs="Segoe UI"/>
          <w:color w:val="000000"/>
          <w:sz w:val="16"/>
          <w:szCs w:val="16"/>
        </w:rPr>
        <w:t>2020 Aug;13(4):e000067. </w:t>
      </w:r>
    </w:p>
    <w:p w14:paraId="732986F0" w14:textId="77777777" w:rsidR="001B1C6C" w:rsidRPr="001B1C6C" w:rsidRDefault="001B1C6C" w:rsidP="001B1C6C">
      <w:pPr>
        <w:numPr>
          <w:ilvl w:val="0"/>
          <w:numId w:val="84"/>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 xml:space="preserve">Al-Khatib SM, et al. 2017 AHA/ACC/HRS Guideline for Management of Patients with Ventricular Arrhythmias and Prevention of Sudden Cardiac Death: A Report of the American College of Cardiology/American Heart Association Task Force on Clinical Practice Guidelines and the Heart Rhythm Society. </w:t>
      </w:r>
      <w:r w:rsidRPr="001B1C6C">
        <w:rPr>
          <w:rFonts w:ascii="Cambria" w:eastAsia="Times New Roman" w:hAnsi="Cambria" w:cs="Segoe UI"/>
          <w:color w:val="000000"/>
          <w:sz w:val="16"/>
          <w:szCs w:val="16"/>
          <w:u w:val="single"/>
          <w:shd w:val="clear" w:color="auto" w:fill="FFFFFF"/>
        </w:rPr>
        <w:t xml:space="preserve">J Am Coll </w:t>
      </w:r>
      <w:proofErr w:type="spellStart"/>
      <w:r w:rsidRPr="001B1C6C">
        <w:rPr>
          <w:rFonts w:ascii="Cambria" w:eastAsia="Times New Roman" w:hAnsi="Cambria" w:cs="Segoe UI"/>
          <w:color w:val="000000"/>
          <w:sz w:val="16"/>
          <w:szCs w:val="16"/>
          <w:u w:val="single"/>
          <w:shd w:val="clear" w:color="auto" w:fill="FFFFFF"/>
        </w:rPr>
        <w:t>Cardiol</w:t>
      </w:r>
      <w:proofErr w:type="spellEnd"/>
      <w:r w:rsidRPr="001B1C6C">
        <w:rPr>
          <w:rFonts w:ascii="Cambria" w:eastAsia="Times New Roman" w:hAnsi="Cambria" w:cs="Segoe UI"/>
          <w:color w:val="000000"/>
          <w:sz w:val="16"/>
          <w:szCs w:val="16"/>
          <w:u w:val="single"/>
          <w:shd w:val="clear" w:color="auto" w:fill="FFFFFF"/>
        </w:rPr>
        <w:t>.</w:t>
      </w:r>
      <w:r w:rsidRPr="001B1C6C">
        <w:rPr>
          <w:rFonts w:ascii="Cambria" w:eastAsia="Times New Roman" w:hAnsi="Cambria" w:cs="Segoe UI"/>
          <w:color w:val="000000"/>
          <w:sz w:val="16"/>
          <w:szCs w:val="16"/>
          <w:shd w:val="clear" w:color="auto" w:fill="FFFFFF"/>
        </w:rPr>
        <w:t xml:space="preserve"> 2018;72:e91–e220.</w:t>
      </w:r>
      <w:r w:rsidRPr="001B1C6C">
        <w:rPr>
          <w:rFonts w:ascii="Cambria" w:eastAsia="Times New Roman" w:hAnsi="Cambria" w:cs="Segoe UI"/>
          <w:color w:val="000000"/>
          <w:sz w:val="16"/>
          <w:szCs w:val="16"/>
        </w:rPr>
        <w:t> </w:t>
      </w:r>
    </w:p>
    <w:p w14:paraId="1B2AA52B" w14:textId="77777777" w:rsidR="001B1C6C" w:rsidRPr="001B1C6C" w:rsidRDefault="001B1C6C" w:rsidP="001B1C6C">
      <w:pPr>
        <w:numPr>
          <w:ilvl w:val="0"/>
          <w:numId w:val="85"/>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Priori SG, et al. HRS/EHRA/APHRS expert consensus statement on the diagnosis and management of patients with inherited primary arrhythmia syndromes. </w:t>
      </w:r>
      <w:r w:rsidRPr="001B1C6C">
        <w:rPr>
          <w:rFonts w:ascii="Cambria" w:eastAsia="Times New Roman" w:hAnsi="Cambria" w:cs="Segoe UI"/>
          <w:color w:val="000000"/>
          <w:sz w:val="16"/>
          <w:szCs w:val="16"/>
          <w:u w:val="single"/>
          <w:shd w:val="clear" w:color="auto" w:fill="FFFFFF"/>
        </w:rPr>
        <w:t>Heart Rhythm</w:t>
      </w:r>
      <w:r w:rsidRPr="001B1C6C">
        <w:rPr>
          <w:rFonts w:ascii="Cambria" w:eastAsia="Times New Roman" w:hAnsi="Cambria" w:cs="Segoe UI"/>
          <w:color w:val="000000"/>
          <w:sz w:val="16"/>
          <w:szCs w:val="16"/>
          <w:shd w:val="clear" w:color="auto" w:fill="FFFFFF"/>
        </w:rPr>
        <w:t>. 2013a;10:1932–63.</w:t>
      </w:r>
      <w:r w:rsidRPr="001B1C6C">
        <w:rPr>
          <w:rFonts w:ascii="Cambria" w:eastAsia="Times New Roman" w:hAnsi="Cambria" w:cs="Segoe UI"/>
          <w:color w:val="000000"/>
          <w:sz w:val="16"/>
          <w:szCs w:val="16"/>
        </w:rPr>
        <w:t> </w:t>
      </w:r>
    </w:p>
    <w:p w14:paraId="4E0F1F63" w14:textId="77777777" w:rsidR="001B1C6C" w:rsidRPr="001B1C6C" w:rsidRDefault="001B1C6C" w:rsidP="001B1C6C">
      <w:pPr>
        <w:numPr>
          <w:ilvl w:val="0"/>
          <w:numId w:val="86"/>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rPr>
        <w:t xml:space="preserve">Heidenreich PA, et al. 2022 AHA/ACC/HFSA Guideline for the Management of Heart Failure: A Report of the American College of Cardiology/American Heart Association Joint Committee on Clinical Practice Guidelines. </w:t>
      </w:r>
      <w:r w:rsidRPr="001B1C6C">
        <w:rPr>
          <w:rFonts w:ascii="Cambria" w:eastAsia="Times New Roman" w:hAnsi="Cambria" w:cs="Segoe UI"/>
          <w:color w:val="000000"/>
          <w:sz w:val="16"/>
          <w:szCs w:val="16"/>
          <w:u w:val="single"/>
        </w:rPr>
        <w:t>Circulation</w:t>
      </w:r>
      <w:r w:rsidRPr="001B1C6C">
        <w:rPr>
          <w:rFonts w:ascii="Cambria" w:eastAsia="Times New Roman" w:hAnsi="Cambria" w:cs="Segoe UI"/>
          <w:color w:val="000000"/>
          <w:sz w:val="16"/>
          <w:szCs w:val="16"/>
        </w:rPr>
        <w:t>. 2022;145:e895–e1032. </w:t>
      </w:r>
    </w:p>
    <w:p w14:paraId="3533FEB8" w14:textId="77777777" w:rsidR="001B1C6C" w:rsidRPr="001B1C6C" w:rsidRDefault="001B1C6C" w:rsidP="001B1C6C">
      <w:pPr>
        <w:numPr>
          <w:ilvl w:val="0"/>
          <w:numId w:val="87"/>
        </w:numPr>
        <w:shd w:val="clear" w:color="auto" w:fill="FFFFFF"/>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 xml:space="preserve">Ommen SR, et al. </w:t>
      </w:r>
      <w:r w:rsidRPr="001B1C6C">
        <w:rPr>
          <w:rFonts w:ascii="Cambria" w:eastAsia="Times New Roman" w:hAnsi="Cambria" w:cs="Segoe UI"/>
          <w:color w:val="000000"/>
          <w:sz w:val="16"/>
          <w:szCs w:val="16"/>
        </w:rPr>
        <w:t>2020 AHA/ACC Guideline for the Diagnosis and Treatment of Patients With Hypertrophic Cardiomyopathy. A Report of the American College of Cardiology/American Heart Association Joint Committee on Clinical Practice Guidelines. Circulation 2020;145:e558-e631. </w:t>
      </w:r>
    </w:p>
    <w:p w14:paraId="26BFA5F2" w14:textId="77777777" w:rsidR="001B1C6C" w:rsidRPr="001B1C6C" w:rsidRDefault="001B1C6C" w:rsidP="001B1C6C">
      <w:pPr>
        <w:numPr>
          <w:ilvl w:val="0"/>
          <w:numId w:val="88"/>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 xml:space="preserve">Schwartz PJ, et al. Impact of genetics on the clinical management of channelopathies. </w:t>
      </w:r>
      <w:r w:rsidRPr="001B1C6C">
        <w:rPr>
          <w:rFonts w:ascii="Cambria" w:eastAsia="Times New Roman" w:hAnsi="Cambria" w:cs="Segoe UI"/>
          <w:color w:val="000000"/>
          <w:sz w:val="16"/>
          <w:szCs w:val="16"/>
          <w:u w:val="single"/>
          <w:shd w:val="clear" w:color="auto" w:fill="FFFFFF"/>
        </w:rPr>
        <w:t xml:space="preserve">J Am Coll </w:t>
      </w:r>
      <w:proofErr w:type="spellStart"/>
      <w:r w:rsidRPr="001B1C6C">
        <w:rPr>
          <w:rFonts w:ascii="Cambria" w:eastAsia="Times New Roman" w:hAnsi="Cambria" w:cs="Segoe UI"/>
          <w:color w:val="000000"/>
          <w:sz w:val="16"/>
          <w:szCs w:val="16"/>
          <w:u w:val="single"/>
          <w:shd w:val="clear" w:color="auto" w:fill="FFFFFF"/>
        </w:rPr>
        <w:t>Cardiol</w:t>
      </w:r>
      <w:proofErr w:type="spellEnd"/>
      <w:r w:rsidRPr="001B1C6C">
        <w:rPr>
          <w:rFonts w:ascii="Cambria" w:eastAsia="Times New Roman" w:hAnsi="Cambria" w:cs="Segoe UI"/>
          <w:color w:val="000000"/>
          <w:sz w:val="16"/>
          <w:szCs w:val="16"/>
          <w:u w:val="single"/>
          <w:shd w:val="clear" w:color="auto" w:fill="FFFFFF"/>
        </w:rPr>
        <w:t>.</w:t>
      </w:r>
      <w:r w:rsidRPr="001B1C6C">
        <w:rPr>
          <w:rFonts w:ascii="Cambria" w:eastAsia="Times New Roman" w:hAnsi="Cambria" w:cs="Segoe UI"/>
          <w:color w:val="000000"/>
          <w:sz w:val="16"/>
          <w:szCs w:val="16"/>
          <w:shd w:val="clear" w:color="auto" w:fill="FFFFFF"/>
        </w:rPr>
        <w:t xml:space="preserve"> 2013;62:169-180.</w:t>
      </w:r>
      <w:r w:rsidRPr="001B1C6C">
        <w:rPr>
          <w:rFonts w:ascii="Cambria" w:eastAsia="Times New Roman" w:hAnsi="Cambria" w:cs="Segoe UI"/>
          <w:color w:val="000000"/>
          <w:sz w:val="16"/>
          <w:szCs w:val="16"/>
        </w:rPr>
        <w:t> </w:t>
      </w:r>
    </w:p>
    <w:p w14:paraId="214E0B3C" w14:textId="77777777" w:rsidR="001B1C6C" w:rsidRPr="001B1C6C" w:rsidRDefault="001B1C6C" w:rsidP="001B1C6C">
      <w:pPr>
        <w:numPr>
          <w:ilvl w:val="0"/>
          <w:numId w:val="89"/>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 xml:space="preserve">Schwartz PJ and Ackerman MJ. The long QT syndrome: a transatlantic clinical approach to diagnosis and therapy. </w:t>
      </w:r>
      <w:r w:rsidRPr="001B1C6C">
        <w:rPr>
          <w:rFonts w:ascii="Cambria" w:eastAsia="Times New Roman" w:hAnsi="Cambria" w:cs="Segoe UI"/>
          <w:color w:val="000000"/>
          <w:sz w:val="16"/>
          <w:szCs w:val="16"/>
          <w:u w:val="single"/>
          <w:shd w:val="clear" w:color="auto" w:fill="FFFFFF"/>
        </w:rPr>
        <w:t>Eur Heart J</w:t>
      </w:r>
      <w:r w:rsidRPr="001B1C6C">
        <w:rPr>
          <w:rFonts w:ascii="Cambria" w:eastAsia="Times New Roman" w:hAnsi="Cambria" w:cs="Segoe UI"/>
          <w:color w:val="000000"/>
          <w:sz w:val="16"/>
          <w:szCs w:val="16"/>
          <w:shd w:val="clear" w:color="auto" w:fill="FFFFFF"/>
        </w:rPr>
        <w:t>. 2013;34:3109-3116.</w:t>
      </w:r>
      <w:r w:rsidRPr="001B1C6C">
        <w:rPr>
          <w:rFonts w:ascii="Cambria" w:eastAsia="Times New Roman" w:hAnsi="Cambria" w:cs="Segoe UI"/>
          <w:color w:val="000000"/>
          <w:sz w:val="16"/>
          <w:szCs w:val="16"/>
        </w:rPr>
        <w:t> </w:t>
      </w:r>
    </w:p>
    <w:p w14:paraId="4A11B9DD" w14:textId="77777777" w:rsidR="001B1C6C" w:rsidRPr="001B1C6C" w:rsidRDefault="001B1C6C" w:rsidP="001B1C6C">
      <w:pPr>
        <w:numPr>
          <w:ilvl w:val="0"/>
          <w:numId w:val="90"/>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sz w:val="16"/>
          <w:szCs w:val="16"/>
        </w:rPr>
        <w:t>Towbin J, et al. 2019 HRS expert consensus statement on evaluation, risk stratification, and management of arrhythmogenic cardiomyopathy. Heart Rhythm. 2019;16(11):e301-e372.  </w:t>
      </w:r>
    </w:p>
    <w:p w14:paraId="25142E8D" w14:textId="77777777" w:rsidR="001B1C6C" w:rsidRPr="001B1C6C" w:rsidRDefault="001B1C6C" w:rsidP="001B1C6C">
      <w:pPr>
        <w:numPr>
          <w:ilvl w:val="0"/>
          <w:numId w:val="91"/>
        </w:numPr>
        <w:spacing w:after="0" w:line="240" w:lineRule="auto"/>
        <w:ind w:left="360"/>
        <w:textAlignment w:val="baseline"/>
        <w:rPr>
          <w:rFonts w:ascii="Cambria" w:eastAsia="Times New Roman" w:hAnsi="Cambria" w:cs="Segoe UI"/>
          <w:sz w:val="16"/>
          <w:szCs w:val="16"/>
        </w:rPr>
      </w:pPr>
      <w:r w:rsidRPr="001B1C6C">
        <w:rPr>
          <w:rFonts w:ascii="Cambria" w:eastAsia="Times New Roman" w:hAnsi="Cambria" w:cs="Segoe UI"/>
          <w:color w:val="000000"/>
          <w:sz w:val="16"/>
          <w:szCs w:val="16"/>
          <w:shd w:val="clear" w:color="auto" w:fill="FFFFFF"/>
        </w:rPr>
        <w:t>Wilde AAM, et al. EHRA/HRS/APHRS/LAHRS expert consensus statement on the state of genetic testing for cardiac diseases. Heart Rhythm. 2022 Jul;19(7):e1-e60. </w:t>
      </w:r>
      <w:r w:rsidRPr="001B1C6C">
        <w:rPr>
          <w:rFonts w:ascii="Cambria" w:eastAsia="Times New Roman" w:hAnsi="Cambria" w:cs="Segoe UI"/>
          <w:color w:val="000000"/>
          <w:sz w:val="16"/>
          <w:szCs w:val="16"/>
        </w:rPr>
        <w:t> </w:t>
      </w:r>
    </w:p>
    <w:p w14:paraId="124A93D8" w14:textId="77777777" w:rsidR="001B1C6C" w:rsidRPr="001B1C6C" w:rsidRDefault="001B1C6C" w:rsidP="001B1C6C">
      <w:pPr>
        <w:numPr>
          <w:ilvl w:val="0"/>
          <w:numId w:val="92"/>
        </w:numPr>
        <w:spacing w:after="0" w:line="240" w:lineRule="auto"/>
        <w:ind w:left="360"/>
        <w:textAlignment w:val="baseline"/>
        <w:rPr>
          <w:rFonts w:ascii="Cambria" w:eastAsia="Times New Roman" w:hAnsi="Cambria" w:cs="Segoe UI"/>
          <w:sz w:val="16"/>
          <w:szCs w:val="16"/>
        </w:rPr>
      </w:pPr>
      <w:proofErr w:type="spellStart"/>
      <w:r w:rsidRPr="001B1C6C">
        <w:rPr>
          <w:rFonts w:ascii="Cambria" w:eastAsia="Times New Roman" w:hAnsi="Cambria" w:cs="Segoe UI"/>
          <w:color w:val="000000"/>
          <w:sz w:val="16"/>
          <w:szCs w:val="16"/>
          <w:shd w:val="clear" w:color="auto" w:fill="FFFFFF"/>
        </w:rPr>
        <w:t>Giudicessi</w:t>
      </w:r>
      <w:proofErr w:type="spellEnd"/>
      <w:r w:rsidRPr="001B1C6C">
        <w:rPr>
          <w:rFonts w:ascii="Cambria" w:eastAsia="Times New Roman" w:hAnsi="Cambria" w:cs="Segoe UI"/>
          <w:color w:val="000000"/>
          <w:sz w:val="16"/>
          <w:szCs w:val="16"/>
          <w:shd w:val="clear" w:color="auto" w:fill="FFFFFF"/>
        </w:rPr>
        <w:t xml:space="preserve"> JR and Ackerman MJ. Genotype- and phenotype-guided management of congenital long QT syndrome. </w:t>
      </w:r>
      <w:proofErr w:type="spellStart"/>
      <w:r w:rsidRPr="001B1C6C">
        <w:rPr>
          <w:rFonts w:ascii="Cambria" w:eastAsia="Times New Roman" w:hAnsi="Cambria" w:cs="Segoe UI"/>
          <w:color w:val="000000"/>
          <w:sz w:val="16"/>
          <w:szCs w:val="16"/>
          <w:u w:val="single"/>
          <w:shd w:val="clear" w:color="auto" w:fill="FFFFFF"/>
        </w:rPr>
        <w:t>Curr</w:t>
      </w:r>
      <w:proofErr w:type="spellEnd"/>
      <w:r w:rsidRPr="001B1C6C">
        <w:rPr>
          <w:rFonts w:ascii="Cambria" w:eastAsia="Times New Roman" w:hAnsi="Cambria" w:cs="Segoe UI"/>
          <w:color w:val="000000"/>
          <w:sz w:val="16"/>
          <w:szCs w:val="16"/>
          <w:u w:val="single"/>
          <w:shd w:val="clear" w:color="auto" w:fill="FFFFFF"/>
        </w:rPr>
        <w:t xml:space="preserve"> </w:t>
      </w:r>
      <w:proofErr w:type="spellStart"/>
      <w:r w:rsidRPr="001B1C6C">
        <w:rPr>
          <w:rFonts w:ascii="Cambria" w:eastAsia="Times New Roman" w:hAnsi="Cambria" w:cs="Segoe UI"/>
          <w:color w:val="000000"/>
          <w:sz w:val="16"/>
          <w:szCs w:val="16"/>
          <w:u w:val="single"/>
          <w:shd w:val="clear" w:color="auto" w:fill="FFFFFF"/>
        </w:rPr>
        <w:t>Probl</w:t>
      </w:r>
      <w:proofErr w:type="spellEnd"/>
      <w:r w:rsidRPr="001B1C6C">
        <w:rPr>
          <w:rFonts w:ascii="Cambria" w:eastAsia="Times New Roman" w:hAnsi="Cambria" w:cs="Segoe UI"/>
          <w:color w:val="000000"/>
          <w:sz w:val="16"/>
          <w:szCs w:val="16"/>
          <w:u w:val="single"/>
          <w:shd w:val="clear" w:color="auto" w:fill="FFFFFF"/>
        </w:rPr>
        <w:t xml:space="preserve"> </w:t>
      </w:r>
      <w:proofErr w:type="spellStart"/>
      <w:r w:rsidRPr="001B1C6C">
        <w:rPr>
          <w:rFonts w:ascii="Cambria" w:eastAsia="Times New Roman" w:hAnsi="Cambria" w:cs="Segoe UI"/>
          <w:color w:val="000000"/>
          <w:sz w:val="16"/>
          <w:szCs w:val="16"/>
          <w:u w:val="single"/>
          <w:shd w:val="clear" w:color="auto" w:fill="FFFFFF"/>
        </w:rPr>
        <w:t>Cardiol</w:t>
      </w:r>
      <w:proofErr w:type="spellEnd"/>
      <w:r w:rsidRPr="001B1C6C">
        <w:rPr>
          <w:rFonts w:ascii="Cambria" w:eastAsia="Times New Roman" w:hAnsi="Cambria" w:cs="Segoe UI"/>
          <w:color w:val="000000"/>
          <w:sz w:val="16"/>
          <w:szCs w:val="16"/>
          <w:u w:val="single"/>
          <w:shd w:val="clear" w:color="auto" w:fill="FFFFFF"/>
        </w:rPr>
        <w:t>.</w:t>
      </w:r>
      <w:r w:rsidRPr="001B1C6C">
        <w:rPr>
          <w:rFonts w:ascii="Cambria" w:eastAsia="Times New Roman" w:hAnsi="Cambria" w:cs="Segoe UI"/>
          <w:color w:val="000000"/>
          <w:sz w:val="16"/>
          <w:szCs w:val="16"/>
          <w:shd w:val="clear" w:color="auto" w:fill="FFFFFF"/>
        </w:rPr>
        <w:t xml:space="preserve"> 2013;38:417-455.</w:t>
      </w:r>
      <w:r w:rsidRPr="001B1C6C">
        <w:rPr>
          <w:rFonts w:ascii="Cambria" w:eastAsia="Times New Roman" w:hAnsi="Cambria" w:cs="Segoe UI"/>
          <w:color w:val="000000"/>
          <w:sz w:val="16"/>
          <w:szCs w:val="16"/>
        </w:rPr>
        <w:t> </w:t>
      </w:r>
    </w:p>
    <w:p w14:paraId="2C48E7E1" w14:textId="1A602791" w:rsidR="001B1C6C" w:rsidRDefault="001B1C6C">
      <w:pPr>
        <w:rPr>
          <w:sz w:val="16"/>
          <w:szCs w:val="16"/>
        </w:rPr>
      </w:pPr>
    </w:p>
    <w:sectPr w:rsidR="001B1C6C" w:rsidSect="008F13A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E344" w14:textId="77777777" w:rsidR="004A73CC" w:rsidRDefault="004A73CC" w:rsidP="008F13A7">
      <w:pPr>
        <w:spacing w:after="0" w:line="240" w:lineRule="auto"/>
      </w:pPr>
      <w:r>
        <w:separator/>
      </w:r>
    </w:p>
  </w:endnote>
  <w:endnote w:type="continuationSeparator" w:id="0">
    <w:p w14:paraId="15737B15" w14:textId="77777777" w:rsidR="004A73CC" w:rsidRDefault="004A73CC"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A114" w14:textId="77777777" w:rsidR="004A73CC" w:rsidRDefault="004A73CC" w:rsidP="008F13A7">
      <w:pPr>
        <w:spacing w:after="0" w:line="240" w:lineRule="auto"/>
      </w:pPr>
      <w:r>
        <w:separator/>
      </w:r>
    </w:p>
  </w:footnote>
  <w:footnote w:type="continuationSeparator" w:id="0">
    <w:p w14:paraId="2FD00393" w14:textId="77777777" w:rsidR="004A73CC" w:rsidRDefault="004A73CC"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2771BB"/>
    <w:rsid w:val="00313242"/>
    <w:rsid w:val="0035611D"/>
    <w:rsid w:val="00392C96"/>
    <w:rsid w:val="0040627C"/>
    <w:rsid w:val="004A73CC"/>
    <w:rsid w:val="00523C7F"/>
    <w:rsid w:val="00532B38"/>
    <w:rsid w:val="00540672"/>
    <w:rsid w:val="00583141"/>
    <w:rsid w:val="0059621C"/>
    <w:rsid w:val="005A0303"/>
    <w:rsid w:val="005A3D17"/>
    <w:rsid w:val="005C30C1"/>
    <w:rsid w:val="005D40BB"/>
    <w:rsid w:val="005D7AC4"/>
    <w:rsid w:val="006374CC"/>
    <w:rsid w:val="00686AFF"/>
    <w:rsid w:val="006B06F9"/>
    <w:rsid w:val="006F6D17"/>
    <w:rsid w:val="00734F92"/>
    <w:rsid w:val="00887A59"/>
    <w:rsid w:val="008D72F0"/>
    <w:rsid w:val="008F13A7"/>
    <w:rsid w:val="008F56DD"/>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900B8"/>
    <w:rsid w:val="00CA00D2"/>
    <w:rsid w:val="00CA33D3"/>
    <w:rsid w:val="00CB4DE3"/>
    <w:rsid w:val="00CC0CC4"/>
    <w:rsid w:val="00CE4095"/>
    <w:rsid w:val="00CF7938"/>
    <w:rsid w:val="00D4303C"/>
    <w:rsid w:val="00D4414B"/>
    <w:rsid w:val="00D9364C"/>
    <w:rsid w:val="00DD2796"/>
    <w:rsid w:val="00DD449B"/>
    <w:rsid w:val="00DE2279"/>
    <w:rsid w:val="00DF188B"/>
    <w:rsid w:val="00DF6BA6"/>
    <w:rsid w:val="00E172AF"/>
    <w:rsid w:val="00E24266"/>
    <w:rsid w:val="00E60CA1"/>
    <w:rsid w:val="00F245C5"/>
    <w:rsid w:val="00F319E0"/>
    <w:rsid w:val="00F408DC"/>
    <w:rsid w:val="00F51C73"/>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ature+Reviews+Cardiology+volume+10%2C+pages+531%E2%80%93547+(20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220937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cbi.nlm.nih.gov/pubmed/?term=29567486" TargetMode="External"/><Relationship Id="rId4" Type="http://schemas.openxmlformats.org/officeDocument/2006/relationships/webSettings" Target="webSettings.xml"/><Relationship Id="rId9" Type="http://schemas.openxmlformats.org/officeDocument/2006/relationships/hyperlink" Target="https://www.ncbi.nlm.nih.gov/pubmed/?term=2178799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2023-01-09T16:54:00Z</dcterms:created>
  <dcterms:modified xsi:type="dcterms:W3CDTF">2023-01-09T16:54:00Z</dcterms:modified>
</cp:coreProperties>
</file>